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EA" w:rsidRDefault="00B733F9" w:rsidP="00B733F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秦皇岛市</w:t>
      </w:r>
      <w:r w:rsidR="00FC160C">
        <w:rPr>
          <w:rFonts w:ascii="方正小标宋简体" w:eastAsia="方正小标宋简体" w:hAnsi="方正小标宋简体" w:cs="方正小标宋简体" w:hint="eastAsia"/>
          <w:sz w:val="44"/>
          <w:szCs w:val="44"/>
        </w:rPr>
        <w:t>青龙满族自治县医疗保障局主要事迹</w:t>
      </w:r>
    </w:p>
    <w:p w:rsidR="00BA11EA" w:rsidRDefault="00B733F9" w:rsidP="00CF021E">
      <w:pPr>
        <w:spacing w:beforeLines="50"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秦皇岛市</w:t>
      </w:r>
      <w:r w:rsidR="00FC160C">
        <w:rPr>
          <w:rFonts w:ascii="仿宋" w:eastAsia="仿宋" w:hAnsi="仿宋" w:cs="仿宋" w:hint="eastAsia"/>
          <w:sz w:val="32"/>
          <w:szCs w:val="32"/>
        </w:rPr>
        <w:t>青龙满族自治县医疗保障局自成立以来，始终坚持以人民为中心的发展理念，认真贯彻落实国家、省、市、县医疗保障有关政策，以医疗保障扶贫和打击欺诈骗保工作为重要抓手，不断创新管理机制，提升服务能力，夯实医保各项基础工作，为保障全县经济社会稳定发展做出了卓越贡献。</w:t>
      </w:r>
    </w:p>
    <w:p w:rsidR="00BA11EA" w:rsidRDefault="00FC160C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一、精准落实政策，提高贫困人口医疗保障水平。</w:t>
      </w:r>
    </w:p>
    <w:p w:rsidR="00BA11EA" w:rsidRDefault="00FC160C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紧紧围绕“确保农村贫困人口‘看得起病、看得上病、看的好病’”目标，认真贯彻基本医疗、大病保险、医疗救助三重保障机制，精准落实贫困人口医保报销比例提高、大病封顶线提高、医疗救助比例提高，城乡居民医保贫困人口个人免缴费、大病住院免起付线，基本医疗住院起付线减半等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政策，切实提高贫困人口医疗保障水平。</w:t>
      </w:r>
      <w:r w:rsidRPr="00CF021E">
        <w:rPr>
          <w:rFonts w:ascii="仿宋" w:eastAsia="仿宋" w:hAnsi="仿宋" w:cs="仿宋" w:hint="eastAsia"/>
          <w:b/>
          <w:sz w:val="32"/>
          <w:szCs w:val="32"/>
        </w:rPr>
        <w:t>一是</w:t>
      </w:r>
      <w:r>
        <w:rPr>
          <w:rFonts w:ascii="仿宋" w:eastAsia="仿宋" w:hAnsi="仿宋" w:cs="仿宋" w:hint="eastAsia"/>
          <w:sz w:val="32"/>
          <w:szCs w:val="32"/>
        </w:rPr>
        <w:t>贫困人口城乡居民医保个人缴费部分由政府全额资助，67362名贫困人口全部参保，2016年以来贫困人口参保率始终保持100%。</w:t>
      </w:r>
      <w:r w:rsidRPr="00CF021E">
        <w:rPr>
          <w:rFonts w:ascii="仿宋" w:eastAsia="仿宋" w:hAnsi="仿宋" w:cs="仿宋" w:hint="eastAsia"/>
          <w:b/>
          <w:sz w:val="32"/>
          <w:szCs w:val="32"/>
        </w:rPr>
        <w:t>二是</w:t>
      </w:r>
      <w:r>
        <w:rPr>
          <w:rFonts w:ascii="仿宋" w:eastAsia="仿宋" w:hAnsi="仿宋" w:cs="仿宋" w:hint="eastAsia"/>
          <w:sz w:val="32"/>
          <w:szCs w:val="32"/>
        </w:rPr>
        <w:t>在全省率先实现市域内就医基本医疗、大病保险、医疗救助三重保障“一站式”结算报销。</w:t>
      </w:r>
      <w:r w:rsidRPr="00CF021E">
        <w:rPr>
          <w:rFonts w:ascii="仿宋" w:eastAsia="仿宋" w:hAnsi="仿宋" w:cs="仿宋" w:hint="eastAsia"/>
          <w:b/>
          <w:sz w:val="32"/>
          <w:szCs w:val="32"/>
        </w:rPr>
        <w:t>三是</w:t>
      </w:r>
      <w:r>
        <w:rPr>
          <w:rFonts w:ascii="仿宋" w:eastAsia="仿宋" w:hAnsi="仿宋" w:cs="仿宋" w:hint="eastAsia"/>
          <w:sz w:val="32"/>
          <w:szCs w:val="32"/>
        </w:rPr>
        <w:t>实现22种慢性病认证随来随受理，7168名慢性病贫困患者全部纳入门诊慢性病救助范围。2016年以来，累计提高农村建档立卡贫困人口医疗保障救助待遇23.66万人次、1.67亿元，政策范围内住院医疗费用报销90%以上。通过精准落实贫困人口医保政策，不断缓解贫困人口就医负担，有效解决因病致贫返贫问题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为成功实现贫困人口全部脱贫奠定坚实基础。</w:t>
      </w:r>
    </w:p>
    <w:p w:rsidR="00BA11EA" w:rsidRDefault="00FC160C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二、打击欺诈骗保，维护医保基金安全。</w:t>
      </w:r>
    </w:p>
    <w:p w:rsidR="00BA11EA" w:rsidRDefault="00FC160C" w:rsidP="00CF021E">
      <w:pPr>
        <w:spacing w:line="58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CF021E">
        <w:rPr>
          <w:rFonts w:ascii="仿宋" w:eastAsia="仿宋" w:hAnsi="仿宋" w:cs="仿宋" w:hint="eastAsia"/>
          <w:b/>
          <w:sz w:val="32"/>
          <w:szCs w:val="32"/>
        </w:rPr>
        <w:t>一是</w:t>
      </w:r>
      <w:r>
        <w:rPr>
          <w:rFonts w:ascii="仿宋" w:eastAsia="仿宋" w:hAnsi="仿宋" w:cs="仿宋" w:hint="eastAsia"/>
          <w:sz w:val="32"/>
          <w:szCs w:val="32"/>
        </w:rPr>
        <w:t>多方协调联合，共筑医保防线。联合县卫健局、县行政审批局、县公安局等11个职能部门，建立打击欺诈骗保联席会议制度，成立专项工作领导小组，加大定点医药机构检查力度，持续保持基金监管高压态势。</w:t>
      </w:r>
      <w:r w:rsidRPr="00CF021E">
        <w:rPr>
          <w:rFonts w:ascii="仿宋" w:eastAsia="仿宋" w:hAnsi="仿宋" w:cs="仿宋" w:hint="eastAsia"/>
          <w:b/>
          <w:sz w:val="32"/>
          <w:szCs w:val="32"/>
        </w:rPr>
        <w:t>二是</w:t>
      </w:r>
      <w:r>
        <w:rPr>
          <w:rFonts w:ascii="仿宋" w:eastAsia="仿宋" w:hAnsi="仿宋" w:cs="仿宋" w:hint="eastAsia"/>
          <w:sz w:val="32"/>
          <w:szCs w:val="32"/>
        </w:rPr>
        <w:t>加大宣传力度，营造浓厚氛围。开展打击欺诈骗保宣传月活动，通过发放宣传海报手册、播放宣传片、设立微信公众号等方式，广泛宣传基金监管政策法规，曝光欺诈骗保典型案件、案例，营造共同关注、参与和支持医保基金安全良好氛围。累计发放宣传海报160份，宣传手册10584份。</w:t>
      </w:r>
      <w:r w:rsidRPr="00CF021E">
        <w:rPr>
          <w:rFonts w:ascii="仿宋" w:eastAsia="仿宋" w:hAnsi="仿宋" w:cs="仿宋" w:hint="eastAsia"/>
          <w:b/>
          <w:sz w:val="32"/>
          <w:szCs w:val="32"/>
        </w:rPr>
        <w:t>三是</w:t>
      </w:r>
      <w:r>
        <w:rPr>
          <w:rFonts w:ascii="仿宋" w:eastAsia="仿宋" w:hAnsi="仿宋" w:cs="仿宋" w:hint="eastAsia"/>
          <w:sz w:val="32"/>
          <w:szCs w:val="32"/>
        </w:rPr>
        <w:t>严格督导检查，维护诊疗秩序。采取事先不发通知、不打招呼,直赴被检查医药机构的飞行检查模式，现场查阅病案、询问医护人员、复核发票、查询信息系统等情况，重点核查挂床住院、过度用药、过度诊疗、大额刷卡等违法违规行为，保障医保基金的安全合理使用。截至目前，共下发整改通知书39份，处罚违约金额72.6万元。通过打击欺诈骗保行动，形成了对欺诈骗保行为零容忍的社会氛围，有效遏止了定点医药机构骗取套取医保基金行为，净化了社会风气，提升了群众满意度。</w:t>
      </w:r>
    </w:p>
    <w:sectPr w:rsidR="00BA11EA" w:rsidSect="00BA11EA">
      <w:headerReference w:type="default" r:id="rId7"/>
      <w:footerReference w:type="default" r:id="rId8"/>
      <w:pgSz w:w="11906" w:h="16838"/>
      <w:pgMar w:top="2098" w:right="1474" w:bottom="1984" w:left="1588" w:header="851" w:footer="992" w:gutter="0"/>
      <w:pgNumType w:fmt="numberInDash"/>
      <w:cols w:space="0"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B99" w:rsidRDefault="00215B99" w:rsidP="00BA11EA">
      <w:r>
        <w:separator/>
      </w:r>
    </w:p>
  </w:endnote>
  <w:endnote w:type="continuationSeparator" w:id="1">
    <w:p w:rsidR="00215B99" w:rsidRDefault="00215B99" w:rsidP="00BA1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EA" w:rsidRDefault="00CD5B8F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filled="f" stroked="f">
          <v:textbox style="mso-fit-shape-to-text:t" inset="0,0,0,0">
            <w:txbxContent>
              <w:p w:rsidR="00BA11EA" w:rsidRDefault="00CD5B8F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FC160C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F021E">
                  <w:rPr>
                    <w:noProof/>
                  </w:rPr>
                  <w:t>- 1 -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B99" w:rsidRDefault="00215B99" w:rsidP="00BA11EA">
      <w:r>
        <w:separator/>
      </w:r>
    </w:p>
  </w:footnote>
  <w:footnote w:type="continuationSeparator" w:id="1">
    <w:p w:rsidR="00215B99" w:rsidRDefault="00215B99" w:rsidP="00BA1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EA" w:rsidRDefault="00BA11EA">
    <w:pPr>
      <w:pStyle w:val="a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F03"/>
    <w:rsid w:val="00215B99"/>
    <w:rsid w:val="00384F9E"/>
    <w:rsid w:val="00AD23B3"/>
    <w:rsid w:val="00B733F9"/>
    <w:rsid w:val="00BA11EA"/>
    <w:rsid w:val="00CC539B"/>
    <w:rsid w:val="00CD5B8F"/>
    <w:rsid w:val="00CF021E"/>
    <w:rsid w:val="00ED7F03"/>
    <w:rsid w:val="00F029CE"/>
    <w:rsid w:val="00FC160C"/>
    <w:rsid w:val="08E553D4"/>
    <w:rsid w:val="0FF959F5"/>
    <w:rsid w:val="10410657"/>
    <w:rsid w:val="13D04DBB"/>
    <w:rsid w:val="13D361AA"/>
    <w:rsid w:val="1D8510CF"/>
    <w:rsid w:val="242E6B33"/>
    <w:rsid w:val="28B931BA"/>
    <w:rsid w:val="291A1065"/>
    <w:rsid w:val="2B2A2A79"/>
    <w:rsid w:val="2E1948A7"/>
    <w:rsid w:val="2F5322D4"/>
    <w:rsid w:val="353831FB"/>
    <w:rsid w:val="389114A1"/>
    <w:rsid w:val="392D4B51"/>
    <w:rsid w:val="3B3C7F08"/>
    <w:rsid w:val="3C53152D"/>
    <w:rsid w:val="40145D4F"/>
    <w:rsid w:val="41DA1F7A"/>
    <w:rsid w:val="437608ED"/>
    <w:rsid w:val="47D95F48"/>
    <w:rsid w:val="4809477C"/>
    <w:rsid w:val="486F1D44"/>
    <w:rsid w:val="49066D7A"/>
    <w:rsid w:val="582B4716"/>
    <w:rsid w:val="5F495038"/>
    <w:rsid w:val="63BE7873"/>
    <w:rsid w:val="64816185"/>
    <w:rsid w:val="6695791E"/>
    <w:rsid w:val="6750429C"/>
    <w:rsid w:val="746175D0"/>
    <w:rsid w:val="78D26522"/>
    <w:rsid w:val="7A3D006C"/>
    <w:rsid w:val="7B1C603B"/>
    <w:rsid w:val="7DF1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Body Text Indent" w:semiHidden="0" w:unhideWhenUsed="0" w:qFormat="1"/>
    <w:lsdException w:name="Subtitle" w:locked="1" w:semiHidden="0" w:uiPriority="0" w:unhideWhenUsed="0" w:qFormat="1"/>
    <w:lsdException w:name="Body Text First Indent 2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E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BA11EA"/>
    <w:pPr>
      <w:ind w:leftChars="200" w:left="420"/>
    </w:pPr>
  </w:style>
  <w:style w:type="paragraph" w:styleId="a4">
    <w:name w:val="footer"/>
    <w:basedOn w:val="a"/>
    <w:link w:val="Char0"/>
    <w:uiPriority w:val="99"/>
    <w:qFormat/>
    <w:rsid w:val="00BA11E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qFormat/>
    <w:rsid w:val="00BA11E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2">
    <w:name w:val="Body Text First Indent 2"/>
    <w:basedOn w:val="a3"/>
    <w:link w:val="2Char"/>
    <w:uiPriority w:val="99"/>
    <w:qFormat/>
    <w:rsid w:val="00BA11EA"/>
    <w:pPr>
      <w:ind w:leftChars="0" w:left="0" w:firstLineChars="200" w:firstLine="420"/>
    </w:pPr>
    <w:rPr>
      <w:rFonts w:eastAsia="仿宋"/>
      <w:sz w:val="36"/>
    </w:rPr>
  </w:style>
  <w:style w:type="character" w:customStyle="1" w:styleId="Char">
    <w:name w:val="正文文本缩进 Char"/>
    <w:basedOn w:val="a0"/>
    <w:link w:val="a3"/>
    <w:uiPriority w:val="99"/>
    <w:semiHidden/>
    <w:qFormat/>
    <w:rsid w:val="00BA11EA"/>
    <w:rPr>
      <w:szCs w:val="24"/>
    </w:rPr>
  </w:style>
  <w:style w:type="character" w:customStyle="1" w:styleId="Char0">
    <w:name w:val="页脚 Char"/>
    <w:basedOn w:val="a0"/>
    <w:link w:val="a4"/>
    <w:uiPriority w:val="99"/>
    <w:semiHidden/>
    <w:qFormat/>
    <w:rsid w:val="00BA11EA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BA11EA"/>
    <w:rPr>
      <w:sz w:val="18"/>
      <w:szCs w:val="18"/>
    </w:rPr>
  </w:style>
  <w:style w:type="character" w:customStyle="1" w:styleId="2Char">
    <w:name w:val="正文首行缩进 2 Char"/>
    <w:basedOn w:val="Char"/>
    <w:link w:val="2"/>
    <w:uiPriority w:val="99"/>
    <w:semiHidden/>
    <w:qFormat/>
    <w:rsid w:val="00BA11E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159</Words>
  <Characters>908</Characters>
  <Application>Microsoft Office Word</Application>
  <DocSecurity>0</DocSecurity>
  <Lines>7</Lines>
  <Paragraphs>2</Paragraphs>
  <ScaleCrop>false</ScaleCrop>
  <Company>微软中国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Administrator</cp:lastModifiedBy>
  <cp:revision>4</cp:revision>
  <dcterms:created xsi:type="dcterms:W3CDTF">2019-06-12T02:40:00Z</dcterms:created>
  <dcterms:modified xsi:type="dcterms:W3CDTF">2020-11-23T07:04:00Z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