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秦皇岛市医疗保险待遇 | 新的职工医疗保险待遇有哪些？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进一步深化我市医疗保障制度改革，全面规范我市医疗保障政策，《秦皇岛市职工基本医疗保险和生育保险市级统筹实施细则》《秦皇岛市市本级职工大病保险实施细则》经市政府常务会议审议通过，2022年1月1日正式实施。我市医疗保障政策调整坚持保障基本、公平享有的原则，以建立权责清晰、保障适度、可持续的多层次医疗保障体系为目标，实现待遇、管理、服务、经办的全面规范，不断增强医保基金抵御风险和统筹共济的能力，充分发挥医保基金保障民生、促进经济社会稳定发展的作用，推动我市医疗保障制度可持续发展的局面，维护人民群众基本医疗有保障的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《秦皇岛市职工基本医疗保险和生育保险市级统筹实施细则》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一是调整个人账户划入标准。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sz w:val="32"/>
          <w:szCs w:val="32"/>
          <w:lang w:val="en-US" w:eastAsia="zh-CN"/>
        </w:rPr>
      </w:pPr>
      <w:r>
        <mc:AlternateContent>
          <mc:Choice Requires="wps">
            <w:drawing>
              <wp:anchor distT="0" distB="0" distL="114300" distR="114300" simplePos="0" relativeHeight="251658240" behindDoc="0" locked="0" layoutInCell="1" allowOverlap="1">
                <wp:simplePos x="0" y="0"/>
                <wp:positionH relativeFrom="column">
                  <wp:posOffset>-194945</wp:posOffset>
                </wp:positionH>
                <wp:positionV relativeFrom="paragraph">
                  <wp:posOffset>151130</wp:posOffset>
                </wp:positionV>
                <wp:extent cx="2549525" cy="1596390"/>
                <wp:effectExtent l="4445" t="4445" r="17780" b="18415"/>
                <wp:wrapNone/>
                <wp:docPr id="5" name="文本框 4"/>
                <wp:cNvGraphicFramePr/>
                <a:graphic xmlns:a="http://schemas.openxmlformats.org/drawingml/2006/main">
                  <a:graphicData uri="http://schemas.microsoft.com/office/word/2010/wordprocessingShape">
                    <wps:wsp>
                      <wps:cNvSpPr txBox="1"/>
                      <wps:spPr>
                        <a:xfrm>
                          <a:off x="0" y="0"/>
                          <a:ext cx="2549525" cy="1596390"/>
                        </a:xfrm>
                        <a:prstGeom prst="rect">
                          <a:avLst/>
                        </a:prstGeom>
                        <a:noFill/>
                        <a:ln>
                          <a:solidFill>
                            <a:srgbClr val="173E81"/>
                          </a:solidFill>
                        </a:ln>
                      </wps:spPr>
                      <wps:txbx>
                        <w:txbxContent>
                          <w:p>
                            <w:pPr>
                              <w:pStyle w:val="2"/>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pPr>
                            <w:r>
                              <w:rPr>
                                <w:rFonts w:ascii="微软雅黑" w:hAnsi="微软雅黑" w:eastAsia="微软雅黑"/>
                                <w:color w:val="000000" w:themeColor="text1"/>
                                <w:kern w:val="24"/>
                                <w:sz w:val="22"/>
                                <w:szCs w:val="22"/>
                                <w14:textFill>
                                  <w14:solidFill>
                                    <w14:schemeClr w14:val="tx1"/>
                                  </w14:solidFill>
                                </w14:textFill>
                              </w:rPr>
                              <w:t>按照“统帐结合”方式参加职工基本医疗保险的参保人员建立个人账户。</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color w:val="2E75B6" w:themeColor="accent1" w:themeShade="BF"/>
                              </w:rPr>
                            </w:pPr>
                            <w:r>
                              <w:rPr>
                                <w:rFonts w:ascii="微软雅黑" w:hAnsi="微软雅黑" w:eastAsia="微软雅黑"/>
                                <w:color w:val="000000" w:themeColor="text1"/>
                                <w:kern w:val="24"/>
                                <w:sz w:val="22"/>
                                <w:szCs w:val="22"/>
                                <w14:textFill>
                                  <w14:solidFill>
                                    <w14:schemeClr w14:val="tx1"/>
                                  </w14:solidFill>
                                </w14:textFill>
                              </w:rPr>
                              <w:t>个人账户由参保地经办机构根据用人单位和个人缴费情况按照规定标准按月划入。</w:t>
                            </w:r>
                          </w:p>
                        </w:txbxContent>
                      </wps:txbx>
                      <wps:bodyPr wrap="square" rtlCol="0">
                        <a:noAutofit/>
                      </wps:bodyPr>
                    </wps:wsp>
                  </a:graphicData>
                </a:graphic>
              </wp:anchor>
            </w:drawing>
          </mc:Choice>
          <mc:Fallback>
            <w:pict>
              <v:shape id="文本框 4" o:spid="_x0000_s1026" o:spt="202" type="#_x0000_t202" style="position:absolute;left:0pt;margin-left:-15.35pt;margin-top:11.9pt;height:125.7pt;width:200.75pt;z-index:251658240;mso-width-relative:page;mso-height-relative:page;" filled="f" stroked="t" coordsize="21600,21600" o:gfxdata="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B2W+2QAAAAoBAAAPAAAAAAAAAAEAIAAAACIAAABkcnMvZG93bnJldi54&#10;bWxQSwECFAAUAAAACACHTuJAZXIq48ABAABRAwAADgAAAAAAAAABACAAAAAoAQAAZHJzL2Uyb0Rv&#10;Yy54bWxQSwUGAAAAAAYABgBZAQAAWgUAAAAA&#10;">
                <v:fill on="f" focussize="0,0"/>
                <v:stroke color="#173E81" joinstyle="round"/>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pPr>
                      <w:r>
                        <w:rPr>
                          <w:rFonts w:ascii="微软雅黑" w:hAnsi="微软雅黑" w:eastAsia="微软雅黑"/>
                          <w:color w:val="000000" w:themeColor="text1"/>
                          <w:kern w:val="24"/>
                          <w:sz w:val="22"/>
                          <w:szCs w:val="22"/>
                          <w14:textFill>
                            <w14:solidFill>
                              <w14:schemeClr w14:val="tx1"/>
                            </w14:solidFill>
                          </w14:textFill>
                        </w:rPr>
                        <w:t>按照“统帐结合”方式参加职工基本医疗保险的参保人员建立个人账户。</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color w:val="2E75B6" w:themeColor="accent1" w:themeShade="BF"/>
                        </w:rPr>
                      </w:pPr>
                      <w:r>
                        <w:rPr>
                          <w:rFonts w:ascii="微软雅黑" w:hAnsi="微软雅黑" w:eastAsia="微软雅黑"/>
                          <w:color w:val="000000" w:themeColor="text1"/>
                          <w:kern w:val="24"/>
                          <w:sz w:val="22"/>
                          <w:szCs w:val="22"/>
                          <w14:textFill>
                            <w14:solidFill>
                              <w14:schemeClr w14:val="tx1"/>
                            </w14:solidFill>
                          </w14:textFill>
                        </w:rPr>
                        <w:t>个人账户由参保地经办机构根据用人单位和个人缴费情况按照规定标准按月划入。</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2502535</wp:posOffset>
                </wp:positionH>
                <wp:positionV relativeFrom="paragraph">
                  <wp:posOffset>132080</wp:posOffset>
                </wp:positionV>
                <wp:extent cx="3173095" cy="1612900"/>
                <wp:effectExtent l="4445" t="4445" r="22860" b="20955"/>
                <wp:wrapNone/>
                <wp:docPr id="100" name="文本框 99"/>
                <wp:cNvGraphicFramePr/>
                <a:graphic xmlns:a="http://schemas.openxmlformats.org/drawingml/2006/main">
                  <a:graphicData uri="http://schemas.microsoft.com/office/word/2010/wordprocessingShape">
                    <wps:wsp>
                      <wps:cNvSpPr txBox="1"/>
                      <wps:spPr>
                        <a:xfrm>
                          <a:off x="0" y="0"/>
                          <a:ext cx="3173095" cy="1612900"/>
                        </a:xfrm>
                        <a:prstGeom prst="rect">
                          <a:avLst/>
                        </a:prstGeom>
                        <a:noFill/>
                        <a:ln w="9525">
                          <a:solidFill>
                            <a:srgbClr val="173E81"/>
                          </a:solidFill>
                        </a:ln>
                      </wps:spPr>
                      <wps:txbx>
                        <w:txbxContent>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pPr>
                            <w:r>
                              <w:rPr>
                                <w:rFonts w:ascii="微软雅黑" w:hAnsi="微软雅黑" w:eastAsia="微软雅黑"/>
                                <w:color w:val="000000" w:themeColor="text1"/>
                                <w:kern w:val="24"/>
                                <w:sz w:val="22"/>
                                <w:szCs w:val="22"/>
                                <w14:textFill>
                                  <w14:solidFill>
                                    <w14:schemeClr w14:val="tx1"/>
                                  </w14:solidFill>
                                </w14:textFill>
                              </w:rPr>
                              <w:t>在职职工：</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pPr>
                            <w:r>
                              <w:rPr>
                                <w:rFonts w:ascii="微软雅黑" w:hAnsi="微软雅黑" w:eastAsia="微软雅黑"/>
                                <w:color w:val="000000" w:themeColor="text1"/>
                                <w:kern w:val="24"/>
                                <w:sz w:val="22"/>
                                <w:szCs w:val="22"/>
                                <w14:textFill>
                                  <w14:solidFill>
                                    <w14:schemeClr w14:val="tx1"/>
                                  </w14:solidFill>
                                </w14:textFill>
                              </w:rPr>
                              <w:t>1、个人账户由个人缴纳的基本医疗保险费计入，计入标准为本人参保缴费基数的</w:t>
                            </w:r>
                            <w:r>
                              <w:rPr>
                                <w:rFonts w:ascii="微软雅黑" w:hAnsi="微软雅黑" w:eastAsia="微软雅黑"/>
                                <w:b/>
                                <w:color w:val="FF0000"/>
                                <w:kern w:val="24"/>
                                <w:sz w:val="22"/>
                                <w:szCs w:val="22"/>
                              </w:rPr>
                              <w:t>2%</w:t>
                            </w:r>
                            <w:r>
                              <w:rPr>
                                <w:rFonts w:ascii="微软雅黑" w:hAnsi="微软雅黑" w:eastAsia="微软雅黑"/>
                                <w:color w:val="000000" w:themeColor="text1"/>
                                <w:kern w:val="24"/>
                                <w:sz w:val="22"/>
                                <w:szCs w:val="22"/>
                                <w14:textFill>
                                  <w14:solidFill>
                                    <w14:schemeClr w14:val="tx1"/>
                                  </w14:solidFill>
                                </w14:textFill>
                              </w:rPr>
                              <w:t>，单位缴纳的基本医疗保险费全部计入统筹基金；</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pPr>
                            <w:r>
                              <w:rPr>
                                <w:rFonts w:ascii="微软雅黑" w:hAnsi="微软雅黑" w:eastAsia="微软雅黑"/>
                                <w:color w:val="000000" w:themeColor="text1"/>
                                <w:kern w:val="24"/>
                                <w:sz w:val="22"/>
                                <w:szCs w:val="22"/>
                                <w14:textFill>
                                  <w14:solidFill>
                                    <w14:schemeClr w14:val="tx1"/>
                                  </w14:solidFill>
                                </w14:textFill>
                              </w:rPr>
                              <w:t>2、用人单位和灵活就业人员欠缴基本医疗保险费时，个人账户停止划入，补缴后再按规定补划。</w:t>
                            </w:r>
                          </w:p>
                        </w:txbxContent>
                      </wps:txbx>
                      <wps:bodyPr wrap="square">
                        <a:noAutofit/>
                      </wps:bodyPr>
                    </wps:wsp>
                  </a:graphicData>
                </a:graphic>
              </wp:anchor>
            </w:drawing>
          </mc:Choice>
          <mc:Fallback>
            <w:pict>
              <v:shape id="文本框 99" o:spid="_x0000_s1026" o:spt="202" type="#_x0000_t202" style="position:absolute;left:0pt;margin-left:197.05pt;margin-top:10.4pt;height:127pt;width:249.85pt;z-index:251659264;mso-width-relative:page;mso-height-relative:page;" filled="f" stroked="t" coordsize="21600,21600" o:gfxdata="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heGs52QAAAAoBAAAPAAAAAAAAAAEAIAAAACIAAABkcnMvZG93bnJl&#10;di54bWxQSwECFAAUAAAACACHTuJAJWwuncMBAABSAwAADgAAAAAAAAABACAAAAAoAQAAZHJzL2Uy&#10;b0RvYy54bWxQSwUGAAAAAAYABgBZAQAAXQUAAAAA&#10;">
                <v:fill on="f" focussize="0,0"/>
                <v:stroke color="#173E81" joinstyle="round"/>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pPr>
                      <w:r>
                        <w:rPr>
                          <w:rFonts w:ascii="微软雅黑" w:hAnsi="微软雅黑" w:eastAsia="微软雅黑"/>
                          <w:color w:val="000000" w:themeColor="text1"/>
                          <w:kern w:val="24"/>
                          <w:sz w:val="22"/>
                          <w:szCs w:val="22"/>
                          <w14:textFill>
                            <w14:solidFill>
                              <w14:schemeClr w14:val="tx1"/>
                            </w14:solidFill>
                          </w14:textFill>
                        </w:rPr>
                        <w:t>在职职工：</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pPr>
                      <w:r>
                        <w:rPr>
                          <w:rFonts w:ascii="微软雅黑" w:hAnsi="微软雅黑" w:eastAsia="微软雅黑"/>
                          <w:color w:val="000000" w:themeColor="text1"/>
                          <w:kern w:val="24"/>
                          <w:sz w:val="22"/>
                          <w:szCs w:val="22"/>
                          <w14:textFill>
                            <w14:solidFill>
                              <w14:schemeClr w14:val="tx1"/>
                            </w14:solidFill>
                          </w14:textFill>
                        </w:rPr>
                        <w:t>1、个人账户由个人缴纳的基本医疗保险费计入，计入标准为本人参保缴费基数的</w:t>
                      </w:r>
                      <w:r>
                        <w:rPr>
                          <w:rFonts w:ascii="微软雅黑" w:hAnsi="微软雅黑" w:eastAsia="微软雅黑"/>
                          <w:b/>
                          <w:color w:val="FF0000"/>
                          <w:kern w:val="24"/>
                          <w:sz w:val="22"/>
                          <w:szCs w:val="22"/>
                        </w:rPr>
                        <w:t>2%</w:t>
                      </w:r>
                      <w:r>
                        <w:rPr>
                          <w:rFonts w:ascii="微软雅黑" w:hAnsi="微软雅黑" w:eastAsia="微软雅黑"/>
                          <w:color w:val="000000" w:themeColor="text1"/>
                          <w:kern w:val="24"/>
                          <w:sz w:val="22"/>
                          <w:szCs w:val="22"/>
                          <w14:textFill>
                            <w14:solidFill>
                              <w14:schemeClr w14:val="tx1"/>
                            </w14:solidFill>
                          </w14:textFill>
                        </w:rPr>
                        <w:t>，单位缴纳的基本医疗保险费全部计入统筹基金；</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pPr>
                      <w:r>
                        <w:rPr>
                          <w:rFonts w:ascii="微软雅黑" w:hAnsi="微软雅黑" w:eastAsia="微软雅黑"/>
                          <w:color w:val="000000" w:themeColor="text1"/>
                          <w:kern w:val="24"/>
                          <w:sz w:val="22"/>
                          <w:szCs w:val="22"/>
                          <w14:textFill>
                            <w14:solidFill>
                              <w14:schemeClr w14:val="tx1"/>
                            </w14:solidFill>
                          </w14:textFill>
                        </w:rPr>
                        <w:t>2、用人单位和灵活就业人员欠缴基本医疗保险费时，个人账户停止划入，补缴后再按规定补划。</w:t>
                      </w:r>
                    </w:p>
                  </w:txbxContent>
                </v:textbox>
              </v:shape>
            </w:pict>
          </mc:Fallback>
        </mc:AlternateConten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499745</wp:posOffset>
                </wp:positionH>
                <wp:positionV relativeFrom="paragraph">
                  <wp:posOffset>193675</wp:posOffset>
                </wp:positionV>
                <wp:extent cx="4024630" cy="1372870"/>
                <wp:effectExtent l="4445" t="4445" r="9525" b="13335"/>
                <wp:wrapNone/>
                <wp:docPr id="6" name="文本框 5"/>
                <wp:cNvGraphicFramePr/>
                <a:graphic xmlns:a="http://schemas.openxmlformats.org/drawingml/2006/main">
                  <a:graphicData uri="http://schemas.microsoft.com/office/word/2010/wordprocessingShape">
                    <wps:wsp>
                      <wps:cNvSpPr txBox="1"/>
                      <wps:spPr>
                        <a:xfrm>
                          <a:off x="0" y="0"/>
                          <a:ext cx="4024630" cy="1372870"/>
                        </a:xfrm>
                        <a:prstGeom prst="rect">
                          <a:avLst/>
                        </a:prstGeom>
                        <a:noFill/>
                        <a:ln>
                          <a:solidFill>
                            <a:srgbClr val="173E81"/>
                          </a:solidFill>
                        </a:ln>
                      </wps:spPr>
                      <wps:txbx>
                        <w:txbxContent>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pPr>
                            <w:r>
                              <w:rPr>
                                <w:rFonts w:ascii="微软雅黑" w:hAnsi="微软雅黑" w:eastAsia="微软雅黑"/>
                                <w:color w:val="000000" w:themeColor="text1"/>
                                <w:kern w:val="24"/>
                                <w:sz w:val="22"/>
                                <w:szCs w:val="22"/>
                                <w14:textFill>
                                  <w14:solidFill>
                                    <w14:schemeClr w14:val="tx1"/>
                                  </w14:solidFill>
                                </w14:textFill>
                              </w:rPr>
                              <w:t>退休人员：</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pPr>
                            <w:r>
                              <w:rPr>
                                <w:rFonts w:ascii="微软雅黑" w:hAnsi="微软雅黑" w:eastAsia="微软雅黑"/>
                                <w:color w:val="000000" w:themeColor="text1"/>
                                <w:kern w:val="24"/>
                                <w:sz w:val="22"/>
                                <w:szCs w:val="22"/>
                                <w14:textFill>
                                  <w14:solidFill>
                                    <w14:schemeClr w14:val="tx1"/>
                                  </w14:solidFill>
                                </w14:textFill>
                              </w:rPr>
                              <w:t>1、个人账户由统筹基金按月定额划入，划入额度为</w:t>
                            </w:r>
                            <w:r>
                              <w:rPr>
                                <w:rFonts w:ascii="微软雅黑" w:hAnsi="微软雅黑" w:eastAsia="微软雅黑"/>
                                <w:b/>
                                <w:color w:val="FF0000"/>
                                <w:kern w:val="24"/>
                                <w:sz w:val="22"/>
                                <w:szCs w:val="22"/>
                              </w:rPr>
                              <w:t>2021年度我市参保退休职工基本养老金月平均水平的2%</w:t>
                            </w:r>
                            <w:r>
                              <w:rPr>
                                <w:rFonts w:ascii="微软雅黑" w:hAnsi="微软雅黑" w:eastAsia="微软雅黑"/>
                                <w:color w:val="000000" w:themeColor="text1"/>
                                <w:kern w:val="24"/>
                                <w:sz w:val="22"/>
                                <w:szCs w:val="2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pPr>
                            <w:r>
                              <w:rPr>
                                <w:rFonts w:ascii="微软雅黑" w:hAnsi="微软雅黑" w:eastAsia="微软雅黑"/>
                                <w:color w:val="000000" w:themeColor="text1"/>
                                <w:kern w:val="24"/>
                                <w:sz w:val="22"/>
                                <w:szCs w:val="22"/>
                                <w14:textFill>
                                  <w14:solidFill>
                                    <w14:schemeClr w14:val="tx1"/>
                                  </w14:solidFill>
                                </w14:textFill>
                              </w:rPr>
                              <w:t>2、在职职工转退休的，从</w:t>
                            </w:r>
                            <w:r>
                              <w:rPr>
                                <w:rFonts w:ascii="微软雅黑" w:hAnsi="微软雅黑" w:eastAsia="微软雅黑"/>
                                <w:b/>
                                <w:color w:val="FF0000"/>
                                <w:kern w:val="24"/>
                                <w:sz w:val="22"/>
                                <w:szCs w:val="22"/>
                              </w:rPr>
                              <w:t>次月</w:t>
                            </w:r>
                            <w:r>
                              <w:rPr>
                                <w:rFonts w:ascii="微软雅黑" w:hAnsi="微软雅黑" w:eastAsia="微软雅黑"/>
                                <w:color w:val="000000" w:themeColor="text1"/>
                                <w:kern w:val="24"/>
                                <w:sz w:val="22"/>
                                <w:szCs w:val="22"/>
                                <w14:textFill>
                                  <w14:solidFill>
                                    <w14:schemeClr w14:val="tx1"/>
                                  </w14:solidFill>
                                </w14:textFill>
                              </w:rPr>
                              <w:t>起为其变更个人账户计入标准。</w:t>
                            </w:r>
                          </w:p>
                        </w:txbxContent>
                      </wps:txbx>
                      <wps:bodyPr wrap="square" rtlCol="0">
                        <a:noAutofit/>
                      </wps:bodyPr>
                    </wps:wsp>
                  </a:graphicData>
                </a:graphic>
              </wp:anchor>
            </w:drawing>
          </mc:Choice>
          <mc:Fallback>
            <w:pict>
              <v:shape id="文本框 5" o:spid="_x0000_s1026" o:spt="202" type="#_x0000_t202" style="position:absolute;left:0pt;margin-left:39.35pt;margin-top:15.25pt;height:108.1pt;width:316.9pt;z-index:251660288;mso-width-relative:page;mso-height-relative:page;" filled="f" stroked="t" coordsize="21600,21600" o:gfxdata="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z8mLdgAAAAJAQAADwAAAAAAAAABACAAAAAiAAAAZHJzL2Rvd25yZXYueG1s&#10;UEsBAhQAFAAAAAgAh07iQL2yCru/AQAAUQMAAA4AAAAAAAAAAQAgAAAAJwEAAGRycy9lMm9Eb2Mu&#10;eG1sUEsFBgAAAAAGAAYAWQEAAFgFAAAAAA==&#10;">
                <v:fill on="f" focussize="0,0"/>
                <v:stroke color="#173E81" joinstyle="round"/>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pPr>
                      <w:r>
                        <w:rPr>
                          <w:rFonts w:ascii="微软雅黑" w:hAnsi="微软雅黑" w:eastAsia="微软雅黑"/>
                          <w:color w:val="000000" w:themeColor="text1"/>
                          <w:kern w:val="24"/>
                          <w:sz w:val="22"/>
                          <w:szCs w:val="22"/>
                          <w14:textFill>
                            <w14:solidFill>
                              <w14:schemeClr w14:val="tx1"/>
                            </w14:solidFill>
                          </w14:textFill>
                        </w:rPr>
                        <w:t>退休人员：</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pPr>
                      <w:r>
                        <w:rPr>
                          <w:rFonts w:ascii="微软雅黑" w:hAnsi="微软雅黑" w:eastAsia="微软雅黑"/>
                          <w:color w:val="000000" w:themeColor="text1"/>
                          <w:kern w:val="24"/>
                          <w:sz w:val="22"/>
                          <w:szCs w:val="22"/>
                          <w14:textFill>
                            <w14:solidFill>
                              <w14:schemeClr w14:val="tx1"/>
                            </w14:solidFill>
                          </w14:textFill>
                        </w:rPr>
                        <w:t>1、个人账户由统筹基金按月定额划入，划入额度为</w:t>
                      </w:r>
                      <w:r>
                        <w:rPr>
                          <w:rFonts w:ascii="微软雅黑" w:hAnsi="微软雅黑" w:eastAsia="微软雅黑"/>
                          <w:b/>
                          <w:color w:val="FF0000"/>
                          <w:kern w:val="24"/>
                          <w:sz w:val="22"/>
                          <w:szCs w:val="22"/>
                        </w:rPr>
                        <w:t>2021年度我市参保退休职工基本养老金月平均水平的2%</w:t>
                      </w:r>
                      <w:r>
                        <w:rPr>
                          <w:rFonts w:ascii="微软雅黑" w:hAnsi="微软雅黑" w:eastAsia="微软雅黑"/>
                          <w:color w:val="000000" w:themeColor="text1"/>
                          <w:kern w:val="24"/>
                          <w:sz w:val="22"/>
                          <w:szCs w:val="2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pPr>
                      <w:r>
                        <w:rPr>
                          <w:rFonts w:ascii="微软雅黑" w:hAnsi="微软雅黑" w:eastAsia="微软雅黑"/>
                          <w:color w:val="000000" w:themeColor="text1"/>
                          <w:kern w:val="24"/>
                          <w:sz w:val="22"/>
                          <w:szCs w:val="22"/>
                          <w14:textFill>
                            <w14:solidFill>
                              <w14:schemeClr w14:val="tx1"/>
                            </w14:solidFill>
                          </w14:textFill>
                        </w:rPr>
                        <w:t>2、在职职工转退休的，从</w:t>
                      </w:r>
                      <w:r>
                        <w:rPr>
                          <w:rFonts w:ascii="微软雅黑" w:hAnsi="微软雅黑" w:eastAsia="微软雅黑"/>
                          <w:b/>
                          <w:color w:val="FF0000"/>
                          <w:kern w:val="24"/>
                          <w:sz w:val="22"/>
                          <w:szCs w:val="22"/>
                        </w:rPr>
                        <w:t>次月</w:t>
                      </w:r>
                      <w:r>
                        <w:rPr>
                          <w:rFonts w:ascii="微软雅黑" w:hAnsi="微软雅黑" w:eastAsia="微软雅黑"/>
                          <w:color w:val="000000" w:themeColor="text1"/>
                          <w:kern w:val="24"/>
                          <w:sz w:val="22"/>
                          <w:szCs w:val="22"/>
                          <w14:textFill>
                            <w14:solidFill>
                              <w14:schemeClr w14:val="tx1"/>
                            </w14:solidFill>
                          </w14:textFill>
                        </w:rPr>
                        <w:t>起为其变更个人账户计入标准。</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这一待遇政策的调整是按照</w:t>
      </w:r>
      <w:r>
        <w:rPr>
          <w:rFonts w:hint="eastAsia" w:eastAsia="仿宋_GB2312"/>
          <w:sz w:val="32"/>
          <w:szCs w:val="32"/>
        </w:rPr>
        <w:t>国家和</w:t>
      </w:r>
      <w:r>
        <w:rPr>
          <w:rFonts w:eastAsia="仿宋_GB2312"/>
          <w:sz w:val="32"/>
          <w:szCs w:val="32"/>
        </w:rPr>
        <w:t>省关于建立健全职工基本医疗保险门诊共济保障机制落实的，目的是按照国家要求为建立门诊共济保障制度提供支撑。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二是扩大个人账户支付范围，实现职工个人账户家庭互济。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职工个人账户可以用于支付参保人员本人及</w:t>
      </w:r>
      <w:r>
        <w:rPr>
          <w:rFonts w:hint="eastAsia" w:ascii="Times New Roman" w:hAnsi="Times New Roman" w:eastAsia="仿宋_GB2312" w:cs="Times New Roman"/>
          <w:color w:val="FF0000"/>
          <w:sz w:val="32"/>
          <w:szCs w:val="32"/>
          <w:lang w:val="en-US" w:eastAsia="zh-CN"/>
        </w:rPr>
        <w:t>其配偶、父母、子女在定点医疗机构</w:t>
      </w:r>
      <w:r>
        <w:rPr>
          <w:rFonts w:hint="eastAsia" w:ascii="Times New Roman" w:hAnsi="Times New Roman" w:eastAsia="仿宋_GB2312" w:cs="Times New Roman"/>
          <w:sz w:val="32"/>
          <w:szCs w:val="32"/>
          <w:lang w:val="en-US" w:eastAsia="zh-CN"/>
        </w:rPr>
        <w:t>就医发生的由</w:t>
      </w:r>
      <w:r>
        <w:rPr>
          <w:rFonts w:hint="eastAsia" w:ascii="Times New Roman" w:hAnsi="Times New Roman" w:eastAsia="仿宋_GB2312" w:cs="Times New Roman"/>
          <w:color w:val="FF0000"/>
          <w:sz w:val="32"/>
          <w:szCs w:val="32"/>
          <w:lang w:val="en-US" w:eastAsia="zh-CN"/>
        </w:rPr>
        <w:t>个人负担</w:t>
      </w:r>
      <w:r>
        <w:rPr>
          <w:rFonts w:hint="eastAsia" w:ascii="Times New Roman" w:hAnsi="Times New Roman" w:eastAsia="仿宋_GB2312" w:cs="Times New Roman"/>
          <w:sz w:val="32"/>
          <w:szCs w:val="32"/>
          <w:lang w:val="en-US" w:eastAsia="zh-CN"/>
        </w:rPr>
        <w:t>的医疗费用，以及在</w:t>
      </w:r>
      <w:r>
        <w:rPr>
          <w:rFonts w:hint="eastAsia" w:ascii="Times New Roman" w:hAnsi="Times New Roman" w:eastAsia="仿宋_GB2312" w:cs="Times New Roman"/>
          <w:color w:val="FF0000"/>
          <w:sz w:val="32"/>
          <w:szCs w:val="32"/>
          <w:lang w:val="en-US" w:eastAsia="zh-CN"/>
        </w:rPr>
        <w:t>定点零售药店购买药品、医疗器械、医用耗材</w:t>
      </w:r>
      <w:r>
        <w:rPr>
          <w:rFonts w:hint="eastAsia" w:ascii="Times New Roman" w:hAnsi="Times New Roman" w:eastAsia="仿宋_GB2312" w:cs="Times New Roman"/>
          <w:sz w:val="32"/>
          <w:szCs w:val="32"/>
          <w:lang w:val="en-US" w:eastAsia="zh-CN"/>
        </w:rPr>
        <w:t>发生的由</w:t>
      </w:r>
      <w:r>
        <w:rPr>
          <w:rFonts w:hint="eastAsia" w:ascii="Times New Roman" w:hAnsi="Times New Roman" w:eastAsia="仿宋_GB2312" w:cs="Times New Roman"/>
          <w:color w:val="FF0000"/>
          <w:sz w:val="32"/>
          <w:szCs w:val="32"/>
          <w:lang w:val="en-US" w:eastAsia="zh-CN"/>
        </w:rPr>
        <w:t>个人负担</w:t>
      </w:r>
      <w:r>
        <w:rPr>
          <w:rFonts w:hint="eastAsia" w:ascii="Times New Roman" w:hAnsi="Times New Roman" w:eastAsia="仿宋_GB2312" w:cs="Times New Roman"/>
          <w:sz w:val="32"/>
          <w:szCs w:val="32"/>
          <w:lang w:val="en-US" w:eastAsia="zh-CN"/>
        </w:rPr>
        <w:t>的费用。不得用于公共卫生费用、体育健身或养生保健消费等不属于基本医疗保险保障范围的支出。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三是提高门诊待遇水平。</w:t>
      </w:r>
    </w:p>
    <w:tbl>
      <w:tblPr>
        <w:tblStyle w:val="3"/>
        <w:tblW w:w="10338" w:type="dxa"/>
        <w:tblCellSpacing w:w="0"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11"/>
        <w:gridCol w:w="1405"/>
        <w:gridCol w:w="1022"/>
        <w:gridCol w:w="1068"/>
        <w:gridCol w:w="1469"/>
        <w:gridCol w:w="1938"/>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6" w:hRule="atLeast"/>
          <w:tblCellSpacing w:w="0" w:type="dxa"/>
        </w:trPr>
        <w:tc>
          <w:tcPr>
            <w:tcW w:w="1711" w:type="dxa"/>
            <w:vMerge w:val="restart"/>
            <w:tcBorders>
              <w:top w:val="single" w:color="FFFFFF" w:sz="6" w:space="0"/>
              <w:left w:val="single" w:color="FFFFFF" w:sz="6" w:space="0"/>
              <w:bottom w:val="single" w:color="FFFFFF" w:sz="18" w:space="0"/>
              <w:right w:val="single" w:color="FFFFFF" w:sz="6" w:space="0"/>
            </w:tcBorders>
            <w:shd w:val="clear" w:color="auto" w:fill="4BACC6"/>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b/>
                <w:color w:val="FFFFFF"/>
                <w:sz w:val="24"/>
                <w:szCs w:val="24"/>
              </w:rPr>
              <w:t>年 度</w:t>
            </w:r>
          </w:p>
        </w:tc>
        <w:tc>
          <w:tcPr>
            <w:tcW w:w="1405" w:type="dxa"/>
            <w:vMerge w:val="restart"/>
            <w:tcBorders>
              <w:top w:val="single" w:color="FFFFFF" w:sz="6" w:space="0"/>
              <w:left w:val="single" w:color="FFFFFF" w:sz="6" w:space="0"/>
              <w:bottom w:val="single" w:color="FFFFFF" w:sz="18" w:space="0"/>
              <w:right w:val="single" w:color="FFFFFF" w:sz="6" w:space="0"/>
            </w:tcBorders>
            <w:shd w:val="clear" w:color="auto" w:fill="4BACC6"/>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b/>
                <w:color w:val="FFFFFF"/>
                <w:sz w:val="24"/>
                <w:szCs w:val="24"/>
              </w:rPr>
              <w:t>起付标准</w:t>
            </w:r>
          </w:p>
        </w:tc>
        <w:tc>
          <w:tcPr>
            <w:tcW w:w="3559" w:type="dxa"/>
            <w:gridSpan w:val="3"/>
            <w:tcBorders>
              <w:top w:val="single" w:color="FFFFFF" w:sz="6" w:space="0"/>
              <w:left w:val="single" w:color="FFFFFF" w:sz="6" w:space="0"/>
              <w:bottom w:val="single" w:color="FFFFFF" w:sz="18" w:space="0"/>
              <w:right w:val="single" w:color="FFFFFF" w:sz="6" w:space="0"/>
            </w:tcBorders>
            <w:shd w:val="clear" w:color="auto" w:fill="4BACC6"/>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b/>
                <w:color w:val="FFFFFF"/>
                <w:sz w:val="24"/>
                <w:szCs w:val="24"/>
              </w:rPr>
              <w:t>合规费用报销比例</w:t>
            </w:r>
          </w:p>
        </w:tc>
        <w:tc>
          <w:tcPr>
            <w:tcW w:w="1938" w:type="dxa"/>
            <w:vMerge w:val="restart"/>
            <w:tcBorders>
              <w:top w:val="single" w:color="FFFFFF" w:sz="6" w:space="0"/>
              <w:left w:val="single" w:color="FFFFFF" w:sz="6" w:space="0"/>
              <w:bottom w:val="single" w:color="FFFFFF" w:sz="18" w:space="0"/>
              <w:right w:val="single" w:color="FFFFFF" w:sz="6" w:space="0"/>
            </w:tcBorders>
            <w:shd w:val="clear" w:color="auto" w:fill="4BACC6"/>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b/>
                <w:color w:val="FFFFFF"/>
                <w:sz w:val="24"/>
                <w:szCs w:val="24"/>
              </w:rPr>
              <w:t>最高支付限额</w:t>
            </w:r>
          </w:p>
        </w:tc>
        <w:tc>
          <w:tcPr>
            <w:tcW w:w="1725" w:type="dxa"/>
            <w:vMerge w:val="restart"/>
            <w:tcBorders>
              <w:top w:val="single" w:color="FFFFFF" w:sz="6" w:space="0"/>
              <w:left w:val="single" w:color="FFFFFF" w:sz="6" w:space="0"/>
              <w:bottom w:val="single" w:color="FFFFFF" w:sz="18" w:space="0"/>
              <w:right w:val="single" w:color="FFFFFF" w:sz="6" w:space="0"/>
            </w:tcBorders>
            <w:shd w:val="clear" w:color="auto" w:fill="4BACC6"/>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b/>
                <w:color w:val="FFFFFF"/>
                <w:sz w:val="24"/>
                <w:szCs w:val="24"/>
              </w:rPr>
              <w:t>与门诊慢特病待遇共享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6" w:hRule="atLeast"/>
          <w:tblCellSpacing w:w="0" w:type="dxa"/>
        </w:trPr>
        <w:tc>
          <w:tcPr>
            <w:tcW w:w="1711" w:type="dxa"/>
            <w:vMerge w:val="continue"/>
            <w:tcBorders>
              <w:top w:val="single" w:color="FFFFFF" w:sz="6" w:space="0"/>
              <w:left w:val="single" w:color="FFFFFF" w:sz="6" w:space="0"/>
              <w:bottom w:val="single" w:color="FFFFFF" w:sz="18" w:space="0"/>
              <w:right w:val="single" w:color="FFFFFF" w:sz="6" w:space="0"/>
            </w:tcBorders>
            <w:shd w:val="clear" w:color="auto" w:fill="4BACC6"/>
            <w:tcMar>
              <w:top w:w="72" w:type="dxa"/>
              <w:left w:w="144" w:type="dxa"/>
              <w:bottom w:w="72" w:type="dxa"/>
              <w:right w:w="144" w:type="dxa"/>
            </w:tcMar>
            <w:vAlign w:val="center"/>
          </w:tcPr>
          <w:p>
            <w:pPr>
              <w:jc w:val="center"/>
              <w:rPr>
                <w:rFonts w:hint="eastAsia" w:ascii="宋体"/>
                <w:sz w:val="24"/>
                <w:szCs w:val="24"/>
              </w:rPr>
            </w:pPr>
          </w:p>
        </w:tc>
        <w:tc>
          <w:tcPr>
            <w:tcW w:w="1405" w:type="dxa"/>
            <w:vMerge w:val="continue"/>
            <w:tcBorders>
              <w:top w:val="single" w:color="FFFFFF" w:sz="6" w:space="0"/>
              <w:left w:val="single" w:color="FFFFFF" w:sz="6" w:space="0"/>
              <w:bottom w:val="single" w:color="FFFFFF" w:sz="18" w:space="0"/>
              <w:right w:val="single" w:color="FFFFFF" w:sz="6" w:space="0"/>
            </w:tcBorders>
            <w:shd w:val="clear" w:color="auto" w:fill="4BACC6"/>
            <w:tcMar>
              <w:top w:w="72" w:type="dxa"/>
              <w:left w:w="144" w:type="dxa"/>
              <w:bottom w:w="72" w:type="dxa"/>
              <w:right w:w="144" w:type="dxa"/>
            </w:tcMar>
            <w:vAlign w:val="center"/>
          </w:tcPr>
          <w:p>
            <w:pPr>
              <w:jc w:val="center"/>
              <w:rPr>
                <w:rFonts w:hint="eastAsia" w:ascii="宋体"/>
                <w:sz w:val="24"/>
                <w:szCs w:val="24"/>
              </w:rPr>
            </w:pPr>
          </w:p>
        </w:tc>
        <w:tc>
          <w:tcPr>
            <w:tcW w:w="1022" w:type="dxa"/>
            <w:tcBorders>
              <w:top w:val="single" w:color="FFFFFF" w:sz="6" w:space="0"/>
              <w:left w:val="single" w:color="FFFFFF" w:sz="6" w:space="0"/>
              <w:bottom w:val="single" w:color="FFFFFF" w:sz="18" w:space="0"/>
              <w:right w:val="single" w:color="FFFFFF" w:sz="6" w:space="0"/>
            </w:tcBorders>
            <w:shd w:val="clear" w:color="auto" w:fill="D0E3EA"/>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color w:val="404040"/>
                <w:sz w:val="24"/>
                <w:szCs w:val="24"/>
              </w:rPr>
              <w:t>在职</w:t>
            </w:r>
          </w:p>
        </w:tc>
        <w:tc>
          <w:tcPr>
            <w:tcW w:w="1068" w:type="dxa"/>
            <w:tcBorders>
              <w:top w:val="single" w:color="FFFFFF" w:sz="6" w:space="0"/>
              <w:left w:val="single" w:color="FFFFFF" w:sz="6" w:space="0"/>
              <w:bottom w:val="single" w:color="FFFFFF" w:sz="18" w:space="0"/>
              <w:right w:val="single" w:color="FFFFFF" w:sz="6" w:space="0"/>
            </w:tcBorders>
            <w:shd w:val="clear" w:color="auto" w:fill="D0E3EA"/>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color w:val="404040"/>
                <w:sz w:val="24"/>
                <w:szCs w:val="24"/>
              </w:rPr>
              <w:t>退休</w:t>
            </w:r>
          </w:p>
        </w:tc>
        <w:tc>
          <w:tcPr>
            <w:tcW w:w="1469" w:type="dxa"/>
            <w:tcBorders>
              <w:top w:val="single" w:color="FFFFFF" w:sz="6" w:space="0"/>
              <w:left w:val="single" w:color="FFFFFF" w:sz="6" w:space="0"/>
              <w:bottom w:val="single" w:color="FFFFFF" w:sz="18" w:space="0"/>
              <w:right w:val="single" w:color="FFFFFF" w:sz="6" w:space="0"/>
            </w:tcBorders>
            <w:shd w:val="clear" w:color="auto" w:fill="D0E3EA"/>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color w:val="404040"/>
                <w:sz w:val="24"/>
                <w:szCs w:val="24"/>
              </w:rPr>
              <w:t>跨省异地</w:t>
            </w:r>
          </w:p>
        </w:tc>
        <w:tc>
          <w:tcPr>
            <w:tcW w:w="1938" w:type="dxa"/>
            <w:vMerge w:val="continue"/>
            <w:tcBorders>
              <w:top w:val="single" w:color="FFFFFF" w:sz="6" w:space="0"/>
              <w:left w:val="single" w:color="FFFFFF" w:sz="6" w:space="0"/>
              <w:bottom w:val="single" w:color="FFFFFF" w:sz="18" w:space="0"/>
              <w:right w:val="single" w:color="FFFFFF" w:sz="6" w:space="0"/>
            </w:tcBorders>
            <w:shd w:val="clear" w:color="auto" w:fill="4BACC6"/>
            <w:tcMar>
              <w:top w:w="72" w:type="dxa"/>
              <w:left w:w="144" w:type="dxa"/>
              <w:bottom w:w="72" w:type="dxa"/>
              <w:right w:w="144" w:type="dxa"/>
            </w:tcMar>
            <w:vAlign w:val="center"/>
          </w:tcPr>
          <w:p>
            <w:pPr>
              <w:jc w:val="center"/>
              <w:rPr>
                <w:rFonts w:hint="eastAsia" w:ascii="宋体"/>
                <w:sz w:val="24"/>
                <w:szCs w:val="24"/>
              </w:rPr>
            </w:pPr>
          </w:p>
        </w:tc>
        <w:tc>
          <w:tcPr>
            <w:tcW w:w="1725" w:type="dxa"/>
            <w:vMerge w:val="continue"/>
            <w:tcBorders>
              <w:top w:val="single" w:color="FFFFFF" w:sz="6" w:space="0"/>
              <w:left w:val="single" w:color="FFFFFF" w:sz="6" w:space="0"/>
              <w:bottom w:val="single" w:color="FFFFFF" w:sz="18" w:space="0"/>
              <w:right w:val="single" w:color="FFFFFF" w:sz="6" w:space="0"/>
            </w:tcBorders>
            <w:shd w:val="clear" w:color="auto" w:fill="4BACC6"/>
            <w:tcMar>
              <w:top w:w="72" w:type="dxa"/>
              <w:left w:w="144" w:type="dxa"/>
              <w:bottom w:w="72" w:type="dxa"/>
              <w:right w:w="144" w:type="dxa"/>
            </w:tcMar>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72" w:hRule="atLeast"/>
          <w:tblCellSpacing w:w="0" w:type="dxa"/>
        </w:trPr>
        <w:tc>
          <w:tcPr>
            <w:tcW w:w="1711" w:type="dxa"/>
            <w:tcBorders>
              <w:top w:val="single" w:color="FFFFFF" w:sz="6" w:space="0"/>
              <w:left w:val="single" w:color="FFFFFF" w:sz="6" w:space="0"/>
              <w:bottom w:val="single" w:color="FFFFFF" w:sz="18" w:space="0"/>
              <w:right w:val="single" w:color="FFFFFF" w:sz="6" w:space="0"/>
            </w:tcBorders>
            <w:shd w:val="clear" w:color="auto" w:fill="E9F1F5"/>
            <w:tcMar>
              <w:top w:w="72" w:type="dxa"/>
              <w:left w:w="144" w:type="dxa"/>
              <w:bottom w:w="72" w:type="dxa"/>
              <w:right w:w="144" w:type="dxa"/>
            </w:tcMar>
            <w:vAlign w:val="center"/>
          </w:tcPr>
          <w:p>
            <w:pPr>
              <w:pStyle w:val="2"/>
              <w:keepNext w:val="0"/>
              <w:keepLines w:val="0"/>
              <w:widowControl/>
              <w:suppressLineNumbers w:val="0"/>
              <w:jc w:val="center"/>
              <w:rPr>
                <w:color w:val="404040"/>
                <w:sz w:val="24"/>
                <w:szCs w:val="24"/>
              </w:rPr>
            </w:pPr>
            <w:r>
              <w:rPr>
                <w:color w:val="404040"/>
                <w:sz w:val="24"/>
                <w:szCs w:val="24"/>
              </w:rPr>
              <w:t>2021年度</w:t>
            </w:r>
          </w:p>
          <w:p>
            <w:pPr>
              <w:pStyle w:val="2"/>
              <w:keepNext w:val="0"/>
              <w:keepLines w:val="0"/>
              <w:widowControl/>
              <w:suppressLineNumbers w:val="0"/>
              <w:jc w:val="center"/>
              <w:rPr>
                <w:rFonts w:hint="eastAsia" w:eastAsiaTheme="minorEastAsia"/>
                <w:color w:val="404040"/>
                <w:sz w:val="24"/>
                <w:szCs w:val="24"/>
                <w:lang w:eastAsia="zh-CN"/>
              </w:rPr>
            </w:pPr>
            <w:r>
              <w:rPr>
                <w:rFonts w:hint="eastAsia"/>
                <w:color w:val="404040"/>
                <w:sz w:val="24"/>
                <w:szCs w:val="24"/>
                <w:lang w:eastAsia="zh-CN"/>
              </w:rPr>
              <w:t>（原政策）</w:t>
            </w:r>
          </w:p>
        </w:tc>
        <w:tc>
          <w:tcPr>
            <w:tcW w:w="1405" w:type="dxa"/>
            <w:tcBorders>
              <w:top w:val="single" w:color="FFFFFF" w:sz="6" w:space="0"/>
              <w:left w:val="single" w:color="FFFFFF" w:sz="6" w:space="0"/>
              <w:bottom w:val="single" w:color="FFFFFF" w:sz="18" w:space="0"/>
              <w:right w:val="single" w:color="FFFFFF" w:sz="6" w:space="0"/>
            </w:tcBorders>
            <w:shd w:val="clear" w:color="auto" w:fill="E9F1F5"/>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color w:val="404040"/>
                <w:sz w:val="24"/>
                <w:szCs w:val="24"/>
              </w:rPr>
              <w:t>300元</w:t>
            </w:r>
          </w:p>
        </w:tc>
        <w:tc>
          <w:tcPr>
            <w:tcW w:w="1022" w:type="dxa"/>
            <w:tcBorders>
              <w:top w:val="single" w:color="FFFFFF" w:sz="6" w:space="0"/>
              <w:left w:val="single" w:color="FFFFFF" w:sz="6" w:space="0"/>
              <w:bottom w:val="single" w:color="FFFFFF" w:sz="18" w:space="0"/>
              <w:right w:val="single" w:color="FFFFFF" w:sz="6" w:space="0"/>
            </w:tcBorders>
            <w:shd w:val="clear" w:color="auto" w:fill="E9F1F5"/>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color w:val="404040"/>
                <w:sz w:val="24"/>
                <w:szCs w:val="24"/>
              </w:rPr>
              <w:t>30%</w:t>
            </w:r>
          </w:p>
        </w:tc>
        <w:tc>
          <w:tcPr>
            <w:tcW w:w="1068" w:type="dxa"/>
            <w:tcBorders>
              <w:top w:val="single" w:color="FFFFFF" w:sz="6" w:space="0"/>
              <w:left w:val="single" w:color="FFFFFF" w:sz="6" w:space="0"/>
              <w:bottom w:val="single" w:color="FFFFFF" w:sz="18" w:space="0"/>
              <w:right w:val="single" w:color="FFFFFF" w:sz="6" w:space="0"/>
            </w:tcBorders>
            <w:shd w:val="clear" w:color="auto" w:fill="E9F1F5"/>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color w:val="404040"/>
                <w:sz w:val="24"/>
                <w:szCs w:val="24"/>
              </w:rPr>
              <w:t>30%</w:t>
            </w:r>
          </w:p>
        </w:tc>
        <w:tc>
          <w:tcPr>
            <w:tcW w:w="1469" w:type="dxa"/>
            <w:tcBorders>
              <w:top w:val="single" w:color="FFFFFF" w:sz="6" w:space="0"/>
              <w:left w:val="single" w:color="FFFFFF" w:sz="6" w:space="0"/>
              <w:bottom w:val="single" w:color="FFFFFF" w:sz="18" w:space="0"/>
              <w:right w:val="single" w:color="FFFFFF" w:sz="6" w:space="0"/>
            </w:tcBorders>
            <w:shd w:val="clear" w:color="auto" w:fill="E9F1F5"/>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color w:val="404040"/>
                <w:sz w:val="24"/>
                <w:szCs w:val="24"/>
              </w:rPr>
              <w:t>-5%</w:t>
            </w:r>
          </w:p>
        </w:tc>
        <w:tc>
          <w:tcPr>
            <w:tcW w:w="1938" w:type="dxa"/>
            <w:tcBorders>
              <w:top w:val="single" w:color="FFFFFF" w:sz="6" w:space="0"/>
              <w:left w:val="single" w:color="FFFFFF" w:sz="6" w:space="0"/>
              <w:bottom w:val="single" w:color="FFFFFF" w:sz="18" w:space="0"/>
              <w:right w:val="single" w:color="FFFFFF" w:sz="6" w:space="0"/>
            </w:tcBorders>
            <w:shd w:val="clear" w:color="auto" w:fill="E9F1F5"/>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color w:val="404040"/>
                <w:sz w:val="24"/>
                <w:szCs w:val="24"/>
              </w:rPr>
              <w:t>1200元</w:t>
            </w:r>
          </w:p>
        </w:tc>
        <w:tc>
          <w:tcPr>
            <w:tcW w:w="1725" w:type="dxa"/>
            <w:tcBorders>
              <w:top w:val="single" w:color="FFFFFF" w:sz="6" w:space="0"/>
              <w:left w:val="single" w:color="FFFFFF" w:sz="6" w:space="0"/>
              <w:bottom w:val="single" w:color="FFFFFF" w:sz="18" w:space="0"/>
              <w:right w:val="single" w:color="FFFFFF" w:sz="6" w:space="0"/>
            </w:tcBorders>
            <w:shd w:val="clear" w:color="auto" w:fill="E9F1F5"/>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color w:val="40404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72" w:hRule="atLeast"/>
          <w:tblCellSpacing w:w="0" w:type="dxa"/>
        </w:trPr>
        <w:tc>
          <w:tcPr>
            <w:tcW w:w="1711" w:type="dxa"/>
            <w:tcBorders>
              <w:top w:val="single" w:color="FFFFFF" w:sz="6" w:space="0"/>
              <w:left w:val="single" w:color="FFFFFF" w:sz="6" w:space="0"/>
              <w:bottom w:val="single" w:color="FFFFFF" w:sz="18" w:space="0"/>
              <w:right w:val="single" w:color="FFFFFF" w:sz="6" w:space="0"/>
            </w:tcBorders>
            <w:shd w:val="clear" w:color="auto" w:fill="D0E3EA"/>
            <w:tcMar>
              <w:top w:w="72" w:type="dxa"/>
              <w:left w:w="144" w:type="dxa"/>
              <w:bottom w:w="72" w:type="dxa"/>
              <w:right w:w="144" w:type="dxa"/>
            </w:tcMar>
            <w:vAlign w:val="center"/>
          </w:tcPr>
          <w:p>
            <w:pPr>
              <w:pStyle w:val="2"/>
              <w:keepNext w:val="0"/>
              <w:keepLines w:val="0"/>
              <w:widowControl/>
              <w:suppressLineNumbers w:val="0"/>
              <w:jc w:val="center"/>
              <w:rPr>
                <w:color w:val="404040"/>
                <w:sz w:val="24"/>
                <w:szCs w:val="24"/>
              </w:rPr>
            </w:pPr>
            <w:r>
              <w:rPr>
                <w:color w:val="404040"/>
                <w:sz w:val="24"/>
                <w:szCs w:val="24"/>
              </w:rPr>
              <w:t>2022年度</w:t>
            </w:r>
          </w:p>
          <w:p>
            <w:pPr>
              <w:pStyle w:val="2"/>
              <w:keepNext w:val="0"/>
              <w:keepLines w:val="0"/>
              <w:widowControl/>
              <w:suppressLineNumbers w:val="0"/>
              <w:jc w:val="center"/>
              <w:rPr>
                <w:rFonts w:hint="eastAsia" w:eastAsiaTheme="minorEastAsia"/>
                <w:color w:val="404040"/>
                <w:sz w:val="24"/>
                <w:szCs w:val="24"/>
                <w:lang w:eastAsia="zh-CN"/>
              </w:rPr>
            </w:pPr>
            <w:r>
              <w:rPr>
                <w:rFonts w:hint="eastAsia"/>
                <w:color w:val="404040"/>
                <w:sz w:val="24"/>
                <w:szCs w:val="24"/>
                <w:lang w:eastAsia="zh-CN"/>
              </w:rPr>
              <w:t>（新政策）</w:t>
            </w:r>
            <w:bookmarkStart w:id="0" w:name="_GoBack"/>
            <w:bookmarkEnd w:id="0"/>
          </w:p>
        </w:tc>
        <w:tc>
          <w:tcPr>
            <w:tcW w:w="1405" w:type="dxa"/>
            <w:tcBorders>
              <w:top w:val="single" w:color="FFFFFF" w:sz="6" w:space="0"/>
              <w:left w:val="single" w:color="FFFFFF" w:sz="6" w:space="0"/>
              <w:bottom w:val="single" w:color="FFFFFF" w:sz="18" w:space="0"/>
              <w:right w:val="single" w:color="FFFFFF" w:sz="6" w:space="0"/>
            </w:tcBorders>
            <w:shd w:val="clear" w:color="auto" w:fill="D0E3EA"/>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b/>
                <w:color w:val="FF0000"/>
                <w:sz w:val="24"/>
                <w:szCs w:val="24"/>
              </w:rPr>
              <w:t>100元</w:t>
            </w:r>
          </w:p>
        </w:tc>
        <w:tc>
          <w:tcPr>
            <w:tcW w:w="1022" w:type="dxa"/>
            <w:tcBorders>
              <w:top w:val="single" w:color="FFFFFF" w:sz="6" w:space="0"/>
              <w:left w:val="single" w:color="FFFFFF" w:sz="6" w:space="0"/>
              <w:bottom w:val="single" w:color="FFFFFF" w:sz="18" w:space="0"/>
              <w:right w:val="single" w:color="FFFFFF" w:sz="6" w:space="0"/>
            </w:tcBorders>
            <w:shd w:val="clear" w:color="auto" w:fill="D0E3EA"/>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b/>
                <w:color w:val="FF0000"/>
                <w:sz w:val="24"/>
                <w:szCs w:val="24"/>
              </w:rPr>
              <w:t>50%</w:t>
            </w:r>
          </w:p>
        </w:tc>
        <w:tc>
          <w:tcPr>
            <w:tcW w:w="1068" w:type="dxa"/>
            <w:tcBorders>
              <w:top w:val="single" w:color="FFFFFF" w:sz="6" w:space="0"/>
              <w:left w:val="single" w:color="FFFFFF" w:sz="6" w:space="0"/>
              <w:bottom w:val="single" w:color="FFFFFF" w:sz="18" w:space="0"/>
              <w:right w:val="single" w:color="FFFFFF" w:sz="6" w:space="0"/>
            </w:tcBorders>
            <w:shd w:val="clear" w:color="auto" w:fill="D0E3EA"/>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b/>
                <w:color w:val="FF0000"/>
                <w:sz w:val="24"/>
                <w:szCs w:val="24"/>
              </w:rPr>
              <w:t>60%</w:t>
            </w:r>
          </w:p>
        </w:tc>
        <w:tc>
          <w:tcPr>
            <w:tcW w:w="1469" w:type="dxa"/>
            <w:tcBorders>
              <w:top w:val="single" w:color="FFFFFF" w:sz="6" w:space="0"/>
              <w:left w:val="single" w:color="FFFFFF" w:sz="6" w:space="0"/>
              <w:bottom w:val="single" w:color="FFFFFF" w:sz="18" w:space="0"/>
              <w:right w:val="single" w:color="FFFFFF" w:sz="6" w:space="0"/>
            </w:tcBorders>
            <w:shd w:val="clear" w:color="auto" w:fill="D0E3EA"/>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color w:val="404040"/>
                <w:sz w:val="24"/>
                <w:szCs w:val="24"/>
              </w:rPr>
              <w:t>-5%</w:t>
            </w:r>
          </w:p>
        </w:tc>
        <w:tc>
          <w:tcPr>
            <w:tcW w:w="1938" w:type="dxa"/>
            <w:tcBorders>
              <w:top w:val="single" w:color="FFFFFF" w:sz="6" w:space="0"/>
              <w:left w:val="single" w:color="FFFFFF" w:sz="6" w:space="0"/>
              <w:bottom w:val="single" w:color="FFFFFF" w:sz="18" w:space="0"/>
              <w:right w:val="single" w:color="FFFFFF" w:sz="6" w:space="0"/>
            </w:tcBorders>
            <w:shd w:val="clear" w:color="auto" w:fill="D0E3EA"/>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b/>
                <w:color w:val="FF0000"/>
                <w:sz w:val="24"/>
                <w:szCs w:val="24"/>
              </w:rPr>
              <w:t>2000元</w:t>
            </w:r>
          </w:p>
        </w:tc>
        <w:tc>
          <w:tcPr>
            <w:tcW w:w="1725" w:type="dxa"/>
            <w:tcBorders>
              <w:top w:val="single" w:color="FFFFFF" w:sz="6" w:space="0"/>
              <w:left w:val="single" w:color="FFFFFF" w:sz="6" w:space="0"/>
              <w:bottom w:val="single" w:color="FFFFFF" w:sz="18" w:space="0"/>
              <w:right w:val="single" w:color="FFFFFF" w:sz="6" w:space="0"/>
            </w:tcBorders>
            <w:shd w:val="clear" w:color="auto" w:fill="D0E3EA"/>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b/>
                <w:color w:val="FF0000"/>
                <w:sz w:val="24"/>
                <w:szCs w:val="24"/>
              </w:rPr>
              <w:t>是</w:t>
            </w:r>
          </w:p>
        </w:tc>
      </w:tr>
    </w:tbl>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仿宋_GB2312" w:cs="Times New Roman"/>
          <w:sz w:val="32"/>
          <w:szCs w:val="32"/>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-297815</wp:posOffset>
                </wp:positionH>
                <wp:positionV relativeFrom="paragraph">
                  <wp:posOffset>50800</wp:posOffset>
                </wp:positionV>
                <wp:extent cx="6544945" cy="967105"/>
                <wp:effectExtent l="0" t="0" r="8255" b="4445"/>
                <wp:wrapNone/>
                <wp:docPr id="3" name="文本框 2"/>
                <wp:cNvGraphicFramePr/>
                <a:graphic xmlns:a="http://schemas.openxmlformats.org/drawingml/2006/main">
                  <a:graphicData uri="http://schemas.microsoft.com/office/word/2010/wordprocessingShape">
                    <wps:wsp>
                      <wps:cNvSpPr txBox="1"/>
                      <wps:spPr>
                        <a:xfrm>
                          <a:off x="0" y="0"/>
                          <a:ext cx="6544945" cy="967105"/>
                        </a:xfrm>
                        <a:prstGeom prst="rect">
                          <a:avLst/>
                        </a:prstGeom>
                        <a:solidFill>
                          <a:schemeClr val="accent5">
                            <a:lumMod val="40000"/>
                            <a:lumOff val="60000"/>
                          </a:schemeClr>
                        </a:solidFill>
                      </wps:spPr>
                      <wps:txbx>
                        <w:txbxContent>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jc w:val="left"/>
                              <w:textAlignment w:val="auto"/>
                            </w:pPr>
                            <w:r>
                              <w:rPr>
                                <w:rFonts w:ascii="微软雅黑" w:eastAsia="微软雅黑" w:hAnsiTheme="minorBidi"/>
                                <w:color w:val="000000" w:themeColor="text1"/>
                                <w:kern w:val="24"/>
                                <w:sz w:val="24"/>
                                <w:szCs w:val="24"/>
                                <w14:textFill>
                                  <w14:solidFill>
                                    <w14:schemeClr w14:val="tx1"/>
                                  </w14:solidFill>
                                </w14:textFill>
                              </w:rPr>
                              <w:t>备注：1、省内二级及以上定点医疗机构享受我市同等的普通门诊支付政策。</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jc w:val="left"/>
                              <w:textAlignment w:val="auto"/>
                              <w:rPr>
                                <w:rFonts w:hint="eastAsia" w:eastAsia="微软雅黑"/>
                                <w:lang w:eastAsia="zh-CN"/>
                              </w:rPr>
                            </w:pPr>
                            <w:r>
                              <w:rPr>
                                <w:rFonts w:ascii="微软雅黑" w:eastAsia="微软雅黑" w:hAnsiTheme="minorBidi"/>
                                <w:color w:val="000000" w:themeColor="text1"/>
                                <w:kern w:val="24"/>
                                <w:sz w:val="24"/>
                                <w:szCs w:val="24"/>
                                <w14:textFill>
                                  <w14:solidFill>
                                    <w14:schemeClr w14:val="tx1"/>
                                  </w14:solidFill>
                                </w14:textFill>
                              </w:rPr>
                              <w:t xml:space="preserve">      2、参保患者普通门诊、门诊慢特病待遇可同时享受，就诊时应分别开具处方、分别结算</w:t>
                            </w:r>
                            <w:r>
                              <w:rPr>
                                <w:rFonts w:hint="eastAsia" w:ascii="微软雅黑" w:eastAsia="微软雅黑" w:hAnsiTheme="minorBidi"/>
                                <w:color w:val="000000" w:themeColor="text1"/>
                                <w:kern w:val="24"/>
                                <w:sz w:val="24"/>
                                <w:szCs w:val="24"/>
                                <w:lang w:eastAsia="zh-CN"/>
                                <w14:textFill>
                                  <w14:solidFill>
                                    <w14:schemeClr w14:val="tx1"/>
                                  </w14:solidFill>
                                </w14:textFill>
                              </w:rPr>
                              <w:t>。</w:t>
                            </w:r>
                          </w:p>
                        </w:txbxContent>
                      </wps:txbx>
                      <wps:bodyPr wrap="square" rtlCol="0">
                        <a:noAutofit/>
                      </wps:bodyPr>
                    </wps:wsp>
                  </a:graphicData>
                </a:graphic>
              </wp:anchor>
            </w:drawing>
          </mc:Choice>
          <mc:Fallback>
            <w:pict>
              <v:shape id="文本框 2" o:spid="_x0000_s1026" o:spt="202" type="#_x0000_t202" style="position:absolute;left:0pt;margin-left:-23.45pt;margin-top:4pt;height:76.15pt;width:515.35pt;z-index:251661312;mso-width-relative:page;mso-height-relative:page;" fillcolor="#B4C7E7 [1304]" filled="t" stroked="f" coordsize="21600,21600" o:gfxdata="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nFRRjZAAAACQEAAA8AAAAAAAAAAQAgAAAA&#10;IgAAAGRycy9kb3ducmV2LnhtbFBLAQIUABQAAAAIAIdO4kA1Sw6S0QEAAHEDAAAOAAAAAAAAAAEA&#10;IAAAACgBAABkcnMvZTJvRG9jLnhtbFBLBQYAAAAABgAGAFkBAABrBQAAAAA=&#10;">
                <v:fill on="t" focussize="0,0"/>
                <v:stroke on="f"/>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jc w:val="left"/>
                        <w:textAlignment w:val="auto"/>
                      </w:pPr>
                      <w:r>
                        <w:rPr>
                          <w:rFonts w:ascii="微软雅黑" w:eastAsia="微软雅黑" w:hAnsiTheme="minorBidi"/>
                          <w:color w:val="000000" w:themeColor="text1"/>
                          <w:kern w:val="24"/>
                          <w:sz w:val="24"/>
                          <w:szCs w:val="24"/>
                          <w14:textFill>
                            <w14:solidFill>
                              <w14:schemeClr w14:val="tx1"/>
                            </w14:solidFill>
                          </w14:textFill>
                        </w:rPr>
                        <w:t>备注：1、省内二级及以上定点医疗机构享受我市同等的普通门诊支付政策。</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jc w:val="left"/>
                        <w:textAlignment w:val="auto"/>
                        <w:rPr>
                          <w:rFonts w:hint="eastAsia" w:eastAsia="微软雅黑"/>
                          <w:lang w:eastAsia="zh-CN"/>
                        </w:rPr>
                      </w:pPr>
                      <w:r>
                        <w:rPr>
                          <w:rFonts w:ascii="微软雅黑" w:eastAsia="微软雅黑" w:hAnsiTheme="minorBidi"/>
                          <w:color w:val="000000" w:themeColor="text1"/>
                          <w:kern w:val="24"/>
                          <w:sz w:val="24"/>
                          <w:szCs w:val="24"/>
                          <w14:textFill>
                            <w14:solidFill>
                              <w14:schemeClr w14:val="tx1"/>
                            </w14:solidFill>
                          </w14:textFill>
                        </w:rPr>
                        <w:t xml:space="preserve">      2、参保患者普通门诊、门诊慢特病待遇可同时享受，就诊时应分别开具处方、分别结算</w:t>
                      </w:r>
                      <w:r>
                        <w:rPr>
                          <w:rFonts w:hint="eastAsia" w:ascii="微软雅黑" w:eastAsia="微软雅黑" w:hAnsiTheme="minorBidi"/>
                          <w:color w:val="000000" w:themeColor="text1"/>
                          <w:kern w:val="24"/>
                          <w:sz w:val="24"/>
                          <w:szCs w:val="24"/>
                          <w:lang w:eastAsia="zh-CN"/>
                          <w14:textFill>
                            <w14:solidFill>
                              <w14:schemeClr w14:val="tx1"/>
                            </w14:solidFill>
                          </w14:textFill>
                        </w:rPr>
                        <w:t>。</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门诊“一降两提高”参保患者门诊就医待遇得到全面提升；门诊慢特病与普通门诊待遇同时享受，将以往参保职工普通门诊、门诊慢特病待遇只能选择一项，调整为普通门诊、门诊慢特病待遇可同时享受，进一步增强慢特病患者门诊治疗保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是提高职工基本医保支付限额。</w:t>
      </w:r>
      <w:r>
        <w:rPr>
          <w:rFonts w:eastAsia="仿宋_GB2312"/>
          <w:sz w:val="32"/>
          <w:szCs w:val="32"/>
        </w:rPr>
        <w:t>将职工基本医疗保险统筹基金最高支付限额由原每人每年</w:t>
      </w:r>
      <w:r>
        <w:rPr>
          <w:rFonts w:eastAsia="仿宋_GB2312"/>
          <w:color w:val="FF0000"/>
          <w:sz w:val="32"/>
          <w:szCs w:val="32"/>
        </w:rPr>
        <w:t>12</w:t>
      </w:r>
      <w:r>
        <w:rPr>
          <w:rFonts w:eastAsia="仿宋_GB2312"/>
          <w:sz w:val="32"/>
          <w:szCs w:val="32"/>
        </w:rPr>
        <w:t>万元提高到</w:t>
      </w:r>
      <w:r>
        <w:rPr>
          <w:rFonts w:eastAsia="仿宋_GB2312"/>
          <w:color w:val="FF0000"/>
          <w:sz w:val="32"/>
          <w:szCs w:val="32"/>
        </w:rPr>
        <w:t>15</w:t>
      </w:r>
      <w:r>
        <w:rPr>
          <w:rFonts w:eastAsia="仿宋_GB2312"/>
          <w:sz w:val="32"/>
          <w:szCs w:val="32"/>
        </w:rPr>
        <w:t>万元。调整支付限额后，增强了职工基本医保的保障能力。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是降低一、二级定点医疗机构住院起付线。</w:t>
      </w:r>
      <w:r>
        <w:rPr>
          <w:rFonts w:hint="eastAsia" w:eastAsia="仿宋_GB2312"/>
          <w:sz w:val="32"/>
          <w:szCs w:val="32"/>
        </w:rPr>
        <w:t>将一级定点医疗机构住院起付线由原</w:t>
      </w:r>
      <w:r>
        <w:rPr>
          <w:rFonts w:hint="eastAsia" w:eastAsia="仿宋_GB2312"/>
          <w:color w:val="FF0000"/>
          <w:sz w:val="32"/>
          <w:szCs w:val="32"/>
        </w:rPr>
        <w:t>600</w:t>
      </w:r>
      <w:r>
        <w:rPr>
          <w:rFonts w:hint="eastAsia" w:eastAsia="仿宋_GB2312"/>
          <w:sz w:val="32"/>
          <w:szCs w:val="32"/>
        </w:rPr>
        <w:t>元调整为</w:t>
      </w:r>
      <w:r>
        <w:rPr>
          <w:rFonts w:hint="eastAsia" w:eastAsia="仿宋_GB2312"/>
          <w:color w:val="FF0000"/>
          <w:sz w:val="32"/>
          <w:szCs w:val="32"/>
        </w:rPr>
        <w:t>400</w:t>
      </w:r>
      <w:r>
        <w:rPr>
          <w:rFonts w:hint="eastAsia" w:eastAsia="仿宋_GB2312"/>
          <w:sz w:val="32"/>
          <w:szCs w:val="32"/>
        </w:rPr>
        <w:t>元，二级定点医疗机构住院起付线由原</w:t>
      </w:r>
      <w:r>
        <w:rPr>
          <w:rFonts w:hint="eastAsia" w:eastAsia="仿宋_GB2312"/>
          <w:color w:val="FF0000"/>
          <w:sz w:val="32"/>
          <w:szCs w:val="32"/>
        </w:rPr>
        <w:t>700</w:t>
      </w:r>
      <w:r>
        <w:rPr>
          <w:rFonts w:hint="eastAsia" w:eastAsia="仿宋_GB2312"/>
          <w:sz w:val="32"/>
          <w:szCs w:val="32"/>
        </w:rPr>
        <w:t>元调整为</w:t>
      </w:r>
      <w:r>
        <w:rPr>
          <w:rFonts w:hint="eastAsia" w:eastAsia="仿宋_GB2312"/>
          <w:color w:val="FF0000"/>
          <w:sz w:val="32"/>
          <w:szCs w:val="32"/>
        </w:rPr>
        <w:t>600</w:t>
      </w:r>
      <w:r>
        <w:rPr>
          <w:rFonts w:hint="eastAsia" w:eastAsia="仿宋_GB2312"/>
          <w:sz w:val="32"/>
          <w:szCs w:val="32"/>
        </w:rPr>
        <w:t>元。通过降低基层医疗机构住院起付线，加大对基层医疗机构政策倾斜，提高参保职工待遇，方便参保职工就近就医。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六是住院待遇——省内及京津直接定点医疗医院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政策范围内合规医疗费用报销比例</w:t>
      </w:r>
    </w:p>
    <w:tbl>
      <w:tblPr>
        <w:tblStyle w:val="3"/>
        <w:tblW w:w="998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95"/>
        <w:gridCol w:w="2495"/>
        <w:gridCol w:w="2495"/>
        <w:gridCol w:w="2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9" w:hRule="atLeast"/>
          <w:tblCellSpacing w:w="0" w:type="dxa"/>
          <w:jc w:val="center"/>
        </w:trPr>
        <w:tc>
          <w:tcPr>
            <w:tcW w:w="2495" w:type="dxa"/>
            <w:tcBorders>
              <w:top w:val="single" w:color="FFFFFF" w:sz="6" w:space="0"/>
              <w:left w:val="single" w:color="FFFFFF" w:sz="6" w:space="0"/>
              <w:bottom w:val="single" w:color="FFFFFF" w:sz="18" w:space="0"/>
              <w:right w:val="single" w:color="FFFFFF" w:sz="6" w:space="0"/>
            </w:tcBorders>
            <w:shd w:val="clear" w:color="auto" w:fill="4F81BD"/>
            <w:tcMar>
              <w:left w:w="108" w:type="dxa"/>
              <w:right w:w="108" w:type="dxa"/>
            </w:tcMar>
            <w:vAlign w:val="center"/>
          </w:tcPr>
          <w:p>
            <w:pPr>
              <w:pStyle w:val="2"/>
              <w:keepNext w:val="0"/>
              <w:keepLines w:val="0"/>
              <w:widowControl/>
              <w:suppressLineNumbers w:val="0"/>
              <w:jc w:val="center"/>
              <w:rPr>
                <w:sz w:val="28"/>
                <w:szCs w:val="28"/>
              </w:rPr>
            </w:pPr>
            <w:r>
              <w:rPr>
                <w:rFonts w:ascii="微软雅黑" w:hAnsi="微软雅黑" w:eastAsia="微软雅黑" w:cs="微软雅黑"/>
                <w:color w:val="FFFFFF"/>
                <w:sz w:val="28"/>
                <w:szCs w:val="28"/>
              </w:rPr>
              <w:t>医疗机构级别</w:t>
            </w:r>
          </w:p>
        </w:tc>
        <w:tc>
          <w:tcPr>
            <w:tcW w:w="2495" w:type="dxa"/>
            <w:tcBorders>
              <w:top w:val="single" w:color="FFFFFF" w:sz="6" w:space="0"/>
              <w:left w:val="single" w:color="FFFFFF" w:sz="6" w:space="0"/>
              <w:bottom w:val="single" w:color="FFFFFF" w:sz="18" w:space="0"/>
              <w:right w:val="single" w:color="FFFFFF" w:sz="6" w:space="0"/>
            </w:tcBorders>
            <w:shd w:val="clear" w:color="auto" w:fill="4F81BD"/>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FFFFFF"/>
                <w:sz w:val="28"/>
                <w:szCs w:val="28"/>
              </w:rPr>
              <w:t>一级</w:t>
            </w:r>
          </w:p>
        </w:tc>
        <w:tc>
          <w:tcPr>
            <w:tcW w:w="2495" w:type="dxa"/>
            <w:tcBorders>
              <w:top w:val="single" w:color="FFFFFF" w:sz="6" w:space="0"/>
              <w:left w:val="single" w:color="FFFFFF" w:sz="6" w:space="0"/>
              <w:bottom w:val="single" w:color="FFFFFF" w:sz="18" w:space="0"/>
              <w:right w:val="single" w:color="FFFFFF" w:sz="6" w:space="0"/>
            </w:tcBorders>
            <w:shd w:val="clear" w:color="auto" w:fill="4F81BD"/>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FFFFFF"/>
                <w:sz w:val="28"/>
                <w:szCs w:val="28"/>
              </w:rPr>
              <w:t>二级</w:t>
            </w:r>
          </w:p>
        </w:tc>
        <w:tc>
          <w:tcPr>
            <w:tcW w:w="2495" w:type="dxa"/>
            <w:tcBorders>
              <w:top w:val="single" w:color="FFFFFF" w:sz="6" w:space="0"/>
              <w:left w:val="single" w:color="FFFFFF" w:sz="6" w:space="0"/>
              <w:bottom w:val="single" w:color="FFFFFF" w:sz="18" w:space="0"/>
              <w:right w:val="single" w:color="FFFFFF" w:sz="6" w:space="0"/>
            </w:tcBorders>
            <w:shd w:val="clear" w:color="auto" w:fill="4F81BD"/>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FFFFFF"/>
                <w:sz w:val="28"/>
                <w:szCs w:val="28"/>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9" w:hRule="atLeast"/>
          <w:tblCellSpacing w:w="0" w:type="dxa"/>
          <w:jc w:val="center"/>
        </w:trPr>
        <w:tc>
          <w:tcPr>
            <w:tcW w:w="2495" w:type="dxa"/>
            <w:tcBorders>
              <w:top w:val="single" w:color="FFFFFF" w:sz="6" w:space="0"/>
              <w:left w:val="single" w:color="FFFFFF" w:sz="6" w:space="0"/>
              <w:bottom w:val="single" w:color="FFFFFF" w:sz="18" w:space="0"/>
              <w:right w:val="single" w:color="FFFFFF" w:sz="6" w:space="0"/>
            </w:tcBorders>
            <w:shd w:val="clear" w:color="auto" w:fill="D0D8E8"/>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404040"/>
                <w:sz w:val="28"/>
                <w:szCs w:val="28"/>
              </w:rPr>
              <w:t>起付标准</w:t>
            </w:r>
          </w:p>
        </w:tc>
        <w:tc>
          <w:tcPr>
            <w:tcW w:w="2495" w:type="dxa"/>
            <w:tcBorders>
              <w:top w:val="single" w:color="FFFFFF" w:sz="6" w:space="0"/>
              <w:left w:val="single" w:color="FFFFFF" w:sz="6" w:space="0"/>
              <w:bottom w:val="single" w:color="FFFFFF" w:sz="18" w:space="0"/>
              <w:right w:val="single" w:color="FFFFFF" w:sz="6" w:space="0"/>
            </w:tcBorders>
            <w:shd w:val="clear" w:color="auto" w:fill="D0D8E8"/>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FF0000"/>
                <w:sz w:val="28"/>
                <w:szCs w:val="28"/>
              </w:rPr>
              <w:t>400元</w:t>
            </w:r>
          </w:p>
        </w:tc>
        <w:tc>
          <w:tcPr>
            <w:tcW w:w="2495" w:type="dxa"/>
            <w:tcBorders>
              <w:top w:val="single" w:color="FFFFFF" w:sz="6" w:space="0"/>
              <w:left w:val="single" w:color="FFFFFF" w:sz="6" w:space="0"/>
              <w:bottom w:val="single" w:color="FFFFFF" w:sz="18" w:space="0"/>
              <w:right w:val="single" w:color="FFFFFF" w:sz="6" w:space="0"/>
            </w:tcBorders>
            <w:shd w:val="clear" w:color="auto" w:fill="D0D8E8"/>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FF0000"/>
                <w:sz w:val="28"/>
                <w:szCs w:val="28"/>
              </w:rPr>
              <w:t>600元</w:t>
            </w:r>
          </w:p>
        </w:tc>
        <w:tc>
          <w:tcPr>
            <w:tcW w:w="2495" w:type="dxa"/>
            <w:tcBorders>
              <w:top w:val="single" w:color="FFFFFF" w:sz="6" w:space="0"/>
              <w:left w:val="single" w:color="FFFFFF" w:sz="6" w:space="0"/>
              <w:bottom w:val="single" w:color="FFFFFF" w:sz="18" w:space="0"/>
              <w:right w:val="single" w:color="FFFFFF" w:sz="6" w:space="0"/>
            </w:tcBorders>
            <w:shd w:val="clear" w:color="auto" w:fill="D0D8E8"/>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404040"/>
                <w:sz w:val="28"/>
                <w:szCs w:val="28"/>
              </w:rPr>
              <w:t>800元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9" w:hRule="atLeast"/>
          <w:tblCellSpacing w:w="0" w:type="dxa"/>
          <w:jc w:val="center"/>
        </w:trPr>
        <w:tc>
          <w:tcPr>
            <w:tcW w:w="2495" w:type="dxa"/>
            <w:tcBorders>
              <w:top w:val="single" w:color="FFFFFF" w:sz="6" w:space="0"/>
              <w:left w:val="single" w:color="FFFFFF" w:sz="6" w:space="0"/>
              <w:bottom w:val="single" w:color="FFFFFF" w:sz="18" w:space="0"/>
              <w:right w:val="single" w:color="FFFFFF" w:sz="6" w:space="0"/>
            </w:tcBorders>
            <w:shd w:val="clear" w:color="auto" w:fill="E9EDF4"/>
            <w:tcMar>
              <w:left w:w="108" w:type="dxa"/>
              <w:right w:w="108" w:type="dxa"/>
            </w:tcMar>
            <w:vAlign w:val="center"/>
          </w:tcPr>
          <w:p>
            <w:pPr>
              <w:pStyle w:val="2"/>
              <w:keepNext w:val="0"/>
              <w:keepLines w:val="0"/>
              <w:widowControl/>
              <w:suppressLineNumbers w:val="0"/>
              <w:jc w:val="center"/>
              <w:rPr>
                <w:rFonts w:hint="eastAsia" w:eastAsia="微软雅黑"/>
                <w:sz w:val="28"/>
                <w:szCs w:val="28"/>
                <w:lang w:eastAsia="zh-CN"/>
              </w:rPr>
            </w:pPr>
            <w:r>
              <w:rPr>
                <w:rFonts w:hint="eastAsia" w:ascii="微软雅黑" w:hAnsi="微软雅黑" w:eastAsia="微软雅黑" w:cs="微软雅黑"/>
                <w:color w:val="404040"/>
                <w:sz w:val="28"/>
                <w:szCs w:val="28"/>
              </w:rPr>
              <w:t>在职</w:t>
            </w:r>
            <w:r>
              <w:rPr>
                <w:rFonts w:hint="eastAsia" w:ascii="微软雅黑" w:hAnsi="微软雅黑" w:eastAsia="微软雅黑" w:cs="微软雅黑"/>
                <w:color w:val="404040"/>
                <w:sz w:val="28"/>
                <w:szCs w:val="28"/>
                <w:lang w:eastAsia="zh-CN"/>
              </w:rPr>
              <w:t>职工</w:t>
            </w:r>
          </w:p>
        </w:tc>
        <w:tc>
          <w:tcPr>
            <w:tcW w:w="2495" w:type="dxa"/>
            <w:tcBorders>
              <w:top w:val="single" w:color="FFFFFF" w:sz="6" w:space="0"/>
              <w:left w:val="single" w:color="FFFFFF" w:sz="6" w:space="0"/>
              <w:bottom w:val="single" w:color="FFFFFF" w:sz="18" w:space="0"/>
              <w:right w:val="single" w:color="FFFFFF" w:sz="6" w:space="0"/>
            </w:tcBorders>
            <w:shd w:val="clear" w:color="auto" w:fill="E9EDF4"/>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404040"/>
                <w:sz w:val="28"/>
                <w:szCs w:val="28"/>
              </w:rPr>
              <w:t>95%</w:t>
            </w:r>
          </w:p>
        </w:tc>
        <w:tc>
          <w:tcPr>
            <w:tcW w:w="2495" w:type="dxa"/>
            <w:tcBorders>
              <w:top w:val="single" w:color="FFFFFF" w:sz="6" w:space="0"/>
              <w:left w:val="single" w:color="FFFFFF" w:sz="6" w:space="0"/>
              <w:bottom w:val="single" w:color="FFFFFF" w:sz="18" w:space="0"/>
              <w:right w:val="single" w:color="FFFFFF" w:sz="6" w:space="0"/>
            </w:tcBorders>
            <w:shd w:val="clear" w:color="auto" w:fill="E9EDF4"/>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404040"/>
                <w:sz w:val="28"/>
                <w:szCs w:val="28"/>
              </w:rPr>
              <w:t>92%</w:t>
            </w:r>
          </w:p>
        </w:tc>
        <w:tc>
          <w:tcPr>
            <w:tcW w:w="2495" w:type="dxa"/>
            <w:tcBorders>
              <w:top w:val="single" w:color="FFFFFF" w:sz="6" w:space="0"/>
              <w:left w:val="single" w:color="FFFFFF" w:sz="6" w:space="0"/>
              <w:bottom w:val="single" w:color="FFFFFF" w:sz="18" w:space="0"/>
              <w:right w:val="single" w:color="FFFFFF" w:sz="6" w:space="0"/>
            </w:tcBorders>
            <w:shd w:val="clear" w:color="auto" w:fill="E9EDF4"/>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404040"/>
                <w:sz w:val="28"/>
                <w:szCs w:val="28"/>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9" w:hRule="atLeast"/>
          <w:tblCellSpacing w:w="0" w:type="dxa"/>
          <w:jc w:val="center"/>
        </w:trPr>
        <w:tc>
          <w:tcPr>
            <w:tcW w:w="2495" w:type="dxa"/>
            <w:tcBorders>
              <w:top w:val="single" w:color="FFFFFF" w:sz="6" w:space="0"/>
              <w:left w:val="single" w:color="FFFFFF" w:sz="6" w:space="0"/>
              <w:bottom w:val="single" w:color="FFFFFF" w:sz="18" w:space="0"/>
              <w:right w:val="single" w:color="FFFFFF" w:sz="6" w:space="0"/>
            </w:tcBorders>
            <w:shd w:val="clear" w:color="auto" w:fill="D0D8E8"/>
            <w:tcMar>
              <w:left w:w="108" w:type="dxa"/>
              <w:right w:w="108" w:type="dxa"/>
            </w:tcMar>
            <w:vAlign w:val="center"/>
          </w:tcPr>
          <w:p>
            <w:pPr>
              <w:pStyle w:val="2"/>
              <w:keepNext w:val="0"/>
              <w:keepLines w:val="0"/>
              <w:widowControl/>
              <w:suppressLineNumbers w:val="0"/>
              <w:jc w:val="center"/>
              <w:rPr>
                <w:rFonts w:hint="eastAsia" w:eastAsia="微软雅黑"/>
                <w:sz w:val="28"/>
                <w:szCs w:val="28"/>
                <w:lang w:eastAsia="zh-CN"/>
              </w:rPr>
            </w:pPr>
            <w:r>
              <w:rPr>
                <w:rFonts w:hint="eastAsia" w:ascii="微软雅黑" w:hAnsi="微软雅黑" w:eastAsia="微软雅黑" w:cs="微软雅黑"/>
                <w:color w:val="404040"/>
                <w:sz w:val="28"/>
                <w:szCs w:val="28"/>
              </w:rPr>
              <w:t>退休</w:t>
            </w:r>
            <w:r>
              <w:rPr>
                <w:rFonts w:hint="eastAsia" w:ascii="微软雅黑" w:hAnsi="微软雅黑" w:eastAsia="微软雅黑" w:cs="微软雅黑"/>
                <w:color w:val="404040"/>
                <w:sz w:val="28"/>
                <w:szCs w:val="28"/>
                <w:lang w:eastAsia="zh-CN"/>
              </w:rPr>
              <w:t>职工</w:t>
            </w:r>
          </w:p>
        </w:tc>
        <w:tc>
          <w:tcPr>
            <w:tcW w:w="2495" w:type="dxa"/>
            <w:tcBorders>
              <w:top w:val="single" w:color="FFFFFF" w:sz="6" w:space="0"/>
              <w:left w:val="single" w:color="FFFFFF" w:sz="6" w:space="0"/>
              <w:bottom w:val="single" w:color="FFFFFF" w:sz="18" w:space="0"/>
              <w:right w:val="single" w:color="FFFFFF" w:sz="6" w:space="0"/>
            </w:tcBorders>
            <w:shd w:val="clear" w:color="auto" w:fill="D0D8E8"/>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404040"/>
                <w:sz w:val="28"/>
                <w:szCs w:val="28"/>
              </w:rPr>
              <w:t>96%</w:t>
            </w:r>
          </w:p>
        </w:tc>
        <w:tc>
          <w:tcPr>
            <w:tcW w:w="2495" w:type="dxa"/>
            <w:tcBorders>
              <w:top w:val="single" w:color="FFFFFF" w:sz="6" w:space="0"/>
              <w:left w:val="single" w:color="FFFFFF" w:sz="6" w:space="0"/>
              <w:bottom w:val="single" w:color="FFFFFF" w:sz="18" w:space="0"/>
              <w:right w:val="single" w:color="FFFFFF" w:sz="6" w:space="0"/>
            </w:tcBorders>
            <w:shd w:val="clear" w:color="auto" w:fill="D0D8E8"/>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404040"/>
                <w:sz w:val="28"/>
                <w:szCs w:val="28"/>
              </w:rPr>
              <w:t>95%</w:t>
            </w:r>
          </w:p>
        </w:tc>
        <w:tc>
          <w:tcPr>
            <w:tcW w:w="2495" w:type="dxa"/>
            <w:tcBorders>
              <w:top w:val="single" w:color="FFFFFF" w:sz="6" w:space="0"/>
              <w:left w:val="single" w:color="FFFFFF" w:sz="6" w:space="0"/>
              <w:bottom w:val="single" w:color="FFFFFF" w:sz="18" w:space="0"/>
              <w:right w:val="single" w:color="FFFFFF" w:sz="6" w:space="0"/>
            </w:tcBorders>
            <w:shd w:val="clear" w:color="auto" w:fill="D0D8E8"/>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404040"/>
                <w:sz w:val="28"/>
                <w:szCs w:val="28"/>
              </w:rPr>
              <w:t>92%</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住院待遇——省外（不含我市京津直接定点医院）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eastAsia="仿宋_GB2312"/>
          <w:sz w:val="32"/>
          <w:szCs w:val="32"/>
          <w:lang w:eastAsia="zh-CN"/>
        </w:rPr>
        <w:t>政策范围内合规医疗费用报销比例</w:t>
      </w:r>
    </w:p>
    <w:tbl>
      <w:tblPr>
        <w:tblStyle w:val="3"/>
        <w:tblW w:w="9638"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58"/>
        <w:gridCol w:w="2360"/>
        <w:gridCol w:w="2360"/>
        <w:gridCol w:w="2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7" w:hRule="atLeast"/>
          <w:tblCellSpacing w:w="0" w:type="dxa"/>
          <w:jc w:val="center"/>
        </w:trPr>
        <w:tc>
          <w:tcPr>
            <w:tcW w:w="2558" w:type="dxa"/>
            <w:tcBorders>
              <w:top w:val="single" w:color="FFFFFF" w:sz="6" w:space="0"/>
              <w:left w:val="single" w:color="FFFFFF" w:sz="6" w:space="0"/>
              <w:bottom w:val="single" w:color="FFFFFF" w:sz="18" w:space="0"/>
              <w:right w:val="single" w:color="FFFFFF" w:sz="6" w:space="0"/>
            </w:tcBorders>
            <w:shd w:val="clear" w:color="auto" w:fill="4F81BD"/>
            <w:tcMar>
              <w:left w:w="108" w:type="dxa"/>
              <w:right w:w="108" w:type="dxa"/>
            </w:tcMar>
            <w:vAlign w:val="center"/>
          </w:tcPr>
          <w:p>
            <w:pPr>
              <w:pStyle w:val="2"/>
              <w:keepNext w:val="0"/>
              <w:keepLines w:val="0"/>
              <w:widowControl/>
              <w:suppressLineNumbers w:val="0"/>
              <w:jc w:val="center"/>
              <w:rPr>
                <w:sz w:val="28"/>
                <w:szCs w:val="28"/>
              </w:rPr>
            </w:pPr>
            <w:r>
              <w:rPr>
                <w:rFonts w:ascii="微软雅黑" w:hAnsi="微软雅黑" w:eastAsia="微软雅黑" w:cs="微软雅黑"/>
                <w:color w:val="FFFFFF"/>
                <w:sz w:val="28"/>
                <w:szCs w:val="28"/>
              </w:rPr>
              <w:t>医疗机构级别</w:t>
            </w:r>
          </w:p>
        </w:tc>
        <w:tc>
          <w:tcPr>
            <w:tcW w:w="2360" w:type="dxa"/>
            <w:tcBorders>
              <w:top w:val="single" w:color="FFFFFF" w:sz="6" w:space="0"/>
              <w:left w:val="single" w:color="FFFFFF" w:sz="6" w:space="0"/>
              <w:bottom w:val="single" w:color="FFFFFF" w:sz="18" w:space="0"/>
              <w:right w:val="single" w:color="FFFFFF" w:sz="6" w:space="0"/>
            </w:tcBorders>
            <w:shd w:val="clear" w:color="auto" w:fill="4F81BD"/>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FFFFFF"/>
                <w:sz w:val="28"/>
                <w:szCs w:val="28"/>
              </w:rPr>
              <w:t>一级</w:t>
            </w:r>
          </w:p>
        </w:tc>
        <w:tc>
          <w:tcPr>
            <w:tcW w:w="2360" w:type="dxa"/>
            <w:tcBorders>
              <w:top w:val="single" w:color="FFFFFF" w:sz="6" w:space="0"/>
              <w:left w:val="single" w:color="FFFFFF" w:sz="6" w:space="0"/>
              <w:bottom w:val="single" w:color="FFFFFF" w:sz="18" w:space="0"/>
              <w:right w:val="single" w:color="FFFFFF" w:sz="6" w:space="0"/>
            </w:tcBorders>
            <w:shd w:val="clear" w:color="auto" w:fill="4F81BD"/>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FFFFFF"/>
                <w:sz w:val="28"/>
                <w:szCs w:val="28"/>
              </w:rPr>
              <w:t>二级</w:t>
            </w:r>
          </w:p>
        </w:tc>
        <w:tc>
          <w:tcPr>
            <w:tcW w:w="2360" w:type="dxa"/>
            <w:tcBorders>
              <w:top w:val="single" w:color="FFFFFF" w:sz="6" w:space="0"/>
              <w:left w:val="single" w:color="FFFFFF" w:sz="6" w:space="0"/>
              <w:bottom w:val="single" w:color="FFFFFF" w:sz="18" w:space="0"/>
              <w:right w:val="single" w:color="FFFFFF" w:sz="6" w:space="0"/>
            </w:tcBorders>
            <w:shd w:val="clear" w:color="auto" w:fill="4F81BD"/>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FFFFFF"/>
                <w:sz w:val="28"/>
                <w:szCs w:val="28"/>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6" w:hRule="atLeast"/>
          <w:tblCellSpacing w:w="0" w:type="dxa"/>
          <w:jc w:val="center"/>
        </w:trPr>
        <w:tc>
          <w:tcPr>
            <w:tcW w:w="2558" w:type="dxa"/>
            <w:tcBorders>
              <w:top w:val="single" w:color="FFFFFF" w:sz="6" w:space="0"/>
              <w:left w:val="single" w:color="FFFFFF" w:sz="6" w:space="0"/>
              <w:bottom w:val="single" w:color="FFFFFF" w:sz="18" w:space="0"/>
              <w:right w:val="single" w:color="FFFFFF" w:sz="6" w:space="0"/>
            </w:tcBorders>
            <w:shd w:val="clear" w:color="auto" w:fill="D0D8E8"/>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404040"/>
                <w:sz w:val="28"/>
                <w:szCs w:val="28"/>
              </w:rPr>
              <w:t>起付标准</w:t>
            </w:r>
          </w:p>
        </w:tc>
        <w:tc>
          <w:tcPr>
            <w:tcW w:w="2360" w:type="dxa"/>
            <w:tcBorders>
              <w:top w:val="single" w:color="FFFFFF" w:sz="6" w:space="0"/>
              <w:left w:val="single" w:color="FFFFFF" w:sz="6" w:space="0"/>
              <w:bottom w:val="single" w:color="FFFFFF" w:sz="18" w:space="0"/>
              <w:right w:val="single" w:color="FFFFFF" w:sz="6" w:space="0"/>
            </w:tcBorders>
            <w:shd w:val="clear" w:color="auto" w:fill="D0D8E8"/>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FF0000"/>
                <w:sz w:val="28"/>
                <w:szCs w:val="28"/>
              </w:rPr>
              <w:t>400元</w:t>
            </w:r>
          </w:p>
        </w:tc>
        <w:tc>
          <w:tcPr>
            <w:tcW w:w="2360" w:type="dxa"/>
            <w:tcBorders>
              <w:top w:val="single" w:color="FFFFFF" w:sz="6" w:space="0"/>
              <w:left w:val="single" w:color="FFFFFF" w:sz="6" w:space="0"/>
              <w:bottom w:val="single" w:color="FFFFFF" w:sz="18" w:space="0"/>
              <w:right w:val="single" w:color="FFFFFF" w:sz="6" w:space="0"/>
            </w:tcBorders>
            <w:shd w:val="clear" w:color="auto" w:fill="D0D8E8"/>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FF0000"/>
                <w:sz w:val="28"/>
                <w:szCs w:val="28"/>
              </w:rPr>
              <w:t>600元</w:t>
            </w:r>
          </w:p>
        </w:tc>
        <w:tc>
          <w:tcPr>
            <w:tcW w:w="2360" w:type="dxa"/>
            <w:tcBorders>
              <w:top w:val="single" w:color="FFFFFF" w:sz="6" w:space="0"/>
              <w:left w:val="single" w:color="FFFFFF" w:sz="6" w:space="0"/>
              <w:bottom w:val="single" w:color="FFFFFF" w:sz="18" w:space="0"/>
              <w:right w:val="single" w:color="FFFFFF" w:sz="6" w:space="0"/>
            </w:tcBorders>
            <w:shd w:val="clear" w:color="auto" w:fill="D0D8E8"/>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404040"/>
                <w:sz w:val="28"/>
                <w:szCs w:val="28"/>
              </w:rPr>
              <w:t>800元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6" w:hRule="atLeast"/>
          <w:tblCellSpacing w:w="0" w:type="dxa"/>
          <w:jc w:val="center"/>
        </w:trPr>
        <w:tc>
          <w:tcPr>
            <w:tcW w:w="2558" w:type="dxa"/>
            <w:tcBorders>
              <w:top w:val="single" w:color="FFFFFF" w:sz="6" w:space="0"/>
              <w:left w:val="single" w:color="FFFFFF" w:sz="6" w:space="0"/>
              <w:bottom w:val="single" w:color="FFFFFF" w:sz="18" w:space="0"/>
              <w:right w:val="single" w:color="FFFFFF" w:sz="6" w:space="0"/>
            </w:tcBorders>
            <w:shd w:val="clear" w:color="auto" w:fill="E9EDF4"/>
            <w:tcMar>
              <w:left w:w="108" w:type="dxa"/>
              <w:right w:w="108" w:type="dxa"/>
            </w:tcMar>
            <w:vAlign w:val="center"/>
          </w:tcPr>
          <w:p>
            <w:pPr>
              <w:pStyle w:val="2"/>
              <w:keepNext w:val="0"/>
              <w:keepLines w:val="0"/>
              <w:widowControl/>
              <w:suppressLineNumbers w:val="0"/>
              <w:jc w:val="center"/>
              <w:rPr>
                <w:rFonts w:hint="eastAsia" w:eastAsia="微软雅黑"/>
                <w:sz w:val="28"/>
                <w:szCs w:val="28"/>
                <w:lang w:eastAsia="zh-CN"/>
              </w:rPr>
            </w:pPr>
            <w:r>
              <w:rPr>
                <w:rFonts w:hint="eastAsia" w:ascii="微软雅黑" w:hAnsi="微软雅黑" w:eastAsia="微软雅黑" w:cs="微软雅黑"/>
                <w:color w:val="404040"/>
                <w:sz w:val="28"/>
                <w:szCs w:val="28"/>
              </w:rPr>
              <w:t>在职</w:t>
            </w:r>
            <w:r>
              <w:rPr>
                <w:rFonts w:hint="eastAsia" w:ascii="微软雅黑" w:hAnsi="微软雅黑" w:eastAsia="微软雅黑" w:cs="微软雅黑"/>
                <w:color w:val="404040"/>
                <w:sz w:val="28"/>
                <w:szCs w:val="28"/>
                <w:lang w:eastAsia="zh-CN"/>
              </w:rPr>
              <w:t>职工</w:t>
            </w:r>
          </w:p>
        </w:tc>
        <w:tc>
          <w:tcPr>
            <w:tcW w:w="2360" w:type="dxa"/>
            <w:tcBorders>
              <w:top w:val="single" w:color="FFFFFF" w:sz="6" w:space="0"/>
              <w:left w:val="single" w:color="FFFFFF" w:sz="6" w:space="0"/>
              <w:bottom w:val="single" w:color="FFFFFF" w:sz="18" w:space="0"/>
              <w:right w:val="single" w:color="FFFFFF" w:sz="6" w:space="0"/>
            </w:tcBorders>
            <w:shd w:val="clear" w:color="auto" w:fill="E9EDF4"/>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404040"/>
                <w:sz w:val="28"/>
                <w:szCs w:val="28"/>
              </w:rPr>
              <w:t>90%</w:t>
            </w:r>
          </w:p>
        </w:tc>
        <w:tc>
          <w:tcPr>
            <w:tcW w:w="2360" w:type="dxa"/>
            <w:tcBorders>
              <w:top w:val="single" w:color="FFFFFF" w:sz="6" w:space="0"/>
              <w:left w:val="single" w:color="FFFFFF" w:sz="6" w:space="0"/>
              <w:bottom w:val="single" w:color="FFFFFF" w:sz="18" w:space="0"/>
              <w:right w:val="single" w:color="FFFFFF" w:sz="6" w:space="0"/>
            </w:tcBorders>
            <w:shd w:val="clear" w:color="auto" w:fill="E9EDF4"/>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404040"/>
                <w:sz w:val="28"/>
                <w:szCs w:val="28"/>
              </w:rPr>
              <w:t>87%</w:t>
            </w:r>
          </w:p>
        </w:tc>
        <w:tc>
          <w:tcPr>
            <w:tcW w:w="2360" w:type="dxa"/>
            <w:tcBorders>
              <w:top w:val="single" w:color="FFFFFF" w:sz="6" w:space="0"/>
              <w:left w:val="single" w:color="FFFFFF" w:sz="6" w:space="0"/>
              <w:bottom w:val="single" w:color="FFFFFF" w:sz="18" w:space="0"/>
              <w:right w:val="single" w:color="FFFFFF" w:sz="6" w:space="0"/>
            </w:tcBorders>
            <w:shd w:val="clear" w:color="auto" w:fill="E9EDF4"/>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404040"/>
                <w:sz w:val="28"/>
                <w:szCs w:val="28"/>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6" w:hRule="atLeast"/>
          <w:tblCellSpacing w:w="0" w:type="dxa"/>
          <w:jc w:val="center"/>
        </w:trPr>
        <w:tc>
          <w:tcPr>
            <w:tcW w:w="2558" w:type="dxa"/>
            <w:tcBorders>
              <w:top w:val="single" w:color="FFFFFF" w:sz="6" w:space="0"/>
              <w:left w:val="single" w:color="FFFFFF" w:sz="6" w:space="0"/>
              <w:bottom w:val="single" w:color="FFFFFF" w:sz="18" w:space="0"/>
              <w:right w:val="single" w:color="FFFFFF" w:sz="6" w:space="0"/>
            </w:tcBorders>
            <w:shd w:val="clear" w:color="auto" w:fill="D0D8E8"/>
            <w:tcMar>
              <w:left w:w="108" w:type="dxa"/>
              <w:right w:w="108" w:type="dxa"/>
            </w:tcMar>
            <w:vAlign w:val="center"/>
          </w:tcPr>
          <w:p>
            <w:pPr>
              <w:pStyle w:val="2"/>
              <w:keepNext w:val="0"/>
              <w:keepLines w:val="0"/>
              <w:widowControl/>
              <w:suppressLineNumbers w:val="0"/>
              <w:jc w:val="center"/>
              <w:rPr>
                <w:rFonts w:hint="eastAsia" w:eastAsia="微软雅黑"/>
                <w:sz w:val="28"/>
                <w:szCs w:val="28"/>
                <w:lang w:eastAsia="zh-CN"/>
              </w:rPr>
            </w:pPr>
            <w:r>
              <w:rPr>
                <w:rFonts w:hint="eastAsia" w:ascii="微软雅黑" w:hAnsi="微软雅黑" w:eastAsia="微软雅黑" w:cs="微软雅黑"/>
                <w:color w:val="404040"/>
                <w:sz w:val="28"/>
                <w:szCs w:val="28"/>
              </w:rPr>
              <w:t>退休</w:t>
            </w:r>
            <w:r>
              <w:rPr>
                <w:rFonts w:hint="eastAsia" w:ascii="微软雅黑" w:hAnsi="微软雅黑" w:eastAsia="微软雅黑" w:cs="微软雅黑"/>
                <w:color w:val="404040"/>
                <w:sz w:val="28"/>
                <w:szCs w:val="28"/>
                <w:lang w:eastAsia="zh-CN"/>
              </w:rPr>
              <w:t>职工</w:t>
            </w:r>
          </w:p>
        </w:tc>
        <w:tc>
          <w:tcPr>
            <w:tcW w:w="2360" w:type="dxa"/>
            <w:tcBorders>
              <w:top w:val="single" w:color="FFFFFF" w:sz="6" w:space="0"/>
              <w:left w:val="single" w:color="FFFFFF" w:sz="6" w:space="0"/>
              <w:bottom w:val="single" w:color="FFFFFF" w:sz="18" w:space="0"/>
              <w:right w:val="single" w:color="FFFFFF" w:sz="6" w:space="0"/>
            </w:tcBorders>
            <w:shd w:val="clear" w:color="auto" w:fill="D0D8E8"/>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404040"/>
                <w:sz w:val="28"/>
                <w:szCs w:val="28"/>
              </w:rPr>
              <w:t>91%</w:t>
            </w:r>
          </w:p>
        </w:tc>
        <w:tc>
          <w:tcPr>
            <w:tcW w:w="2360" w:type="dxa"/>
            <w:tcBorders>
              <w:top w:val="single" w:color="FFFFFF" w:sz="6" w:space="0"/>
              <w:left w:val="single" w:color="FFFFFF" w:sz="6" w:space="0"/>
              <w:bottom w:val="single" w:color="FFFFFF" w:sz="18" w:space="0"/>
              <w:right w:val="single" w:color="FFFFFF" w:sz="6" w:space="0"/>
            </w:tcBorders>
            <w:shd w:val="clear" w:color="auto" w:fill="D0D8E8"/>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404040"/>
                <w:sz w:val="28"/>
                <w:szCs w:val="28"/>
              </w:rPr>
              <w:t>90%</w:t>
            </w:r>
          </w:p>
        </w:tc>
        <w:tc>
          <w:tcPr>
            <w:tcW w:w="2360" w:type="dxa"/>
            <w:tcBorders>
              <w:top w:val="single" w:color="FFFFFF" w:sz="6" w:space="0"/>
              <w:left w:val="single" w:color="FFFFFF" w:sz="6" w:space="0"/>
              <w:bottom w:val="single" w:color="FFFFFF" w:sz="18" w:space="0"/>
              <w:right w:val="single" w:color="FFFFFF" w:sz="6" w:space="0"/>
            </w:tcBorders>
            <w:shd w:val="clear" w:color="auto" w:fill="D0D8E8"/>
            <w:tcMar>
              <w:left w:w="108" w:type="dxa"/>
              <w:right w:w="108" w:type="dxa"/>
            </w:tcMar>
            <w:vAlign w:val="center"/>
          </w:tcPr>
          <w:p>
            <w:pPr>
              <w:pStyle w:val="2"/>
              <w:keepNext w:val="0"/>
              <w:keepLines w:val="0"/>
              <w:widowControl/>
              <w:suppressLineNumbers w:val="0"/>
              <w:jc w:val="center"/>
              <w:rPr>
                <w:sz w:val="28"/>
                <w:szCs w:val="28"/>
              </w:rPr>
            </w:pPr>
            <w:r>
              <w:rPr>
                <w:rFonts w:hint="eastAsia" w:ascii="微软雅黑" w:hAnsi="微软雅黑" w:eastAsia="微软雅黑" w:cs="微软雅黑"/>
                <w:color w:val="404040"/>
                <w:sz w:val="28"/>
                <w:szCs w:val="28"/>
              </w:rPr>
              <w:t>87%</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《秦皇岛市市本级职工大病保险实施细则》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将职工大病保险基金年度最高支付限额由原每人每年</w:t>
      </w:r>
      <w:r>
        <w:rPr>
          <w:rFonts w:hint="eastAsia" w:ascii="仿宋_GB2312" w:hAnsi="仿宋_GB2312" w:eastAsia="仿宋_GB2312" w:cs="仿宋_GB2312"/>
          <w:color w:val="FF0000"/>
          <w:sz w:val="32"/>
          <w:szCs w:val="32"/>
          <w:lang w:val="en-US" w:eastAsia="zh-CN"/>
        </w:rPr>
        <w:t>40</w:t>
      </w:r>
      <w:r>
        <w:rPr>
          <w:rFonts w:hint="eastAsia" w:ascii="仿宋_GB2312" w:hAnsi="仿宋_GB2312" w:eastAsia="仿宋_GB2312" w:cs="仿宋_GB2312"/>
          <w:sz w:val="32"/>
          <w:szCs w:val="32"/>
          <w:lang w:val="en-US" w:eastAsia="zh-CN"/>
        </w:rPr>
        <w:t>万元提高到</w:t>
      </w:r>
      <w:r>
        <w:rPr>
          <w:rFonts w:hint="eastAsia" w:ascii="仿宋_GB2312" w:hAnsi="仿宋_GB2312" w:eastAsia="仿宋_GB2312" w:cs="仿宋_GB2312"/>
          <w:color w:val="FF0000"/>
          <w:sz w:val="32"/>
          <w:szCs w:val="32"/>
          <w:lang w:val="en-US" w:eastAsia="zh-CN"/>
        </w:rPr>
        <w:t>50</w:t>
      </w:r>
      <w:r>
        <w:rPr>
          <w:rFonts w:hint="eastAsia" w:ascii="仿宋_GB2312" w:hAnsi="仿宋_GB2312" w:eastAsia="仿宋_GB2312" w:cs="仿宋_GB2312"/>
          <w:sz w:val="32"/>
          <w:szCs w:val="32"/>
          <w:lang w:val="en-US" w:eastAsia="zh-CN"/>
        </w:rPr>
        <w:t>万元，不断增强大病保险“保大病”的能力。职工在基本医疗保险最高支付限额以上、大病保险最高支付限额以内的住院（含门诊特殊疾病）合规医疗费用采取“分段计算”的办法支付。具体比例为：</w:t>
      </w:r>
      <w:r>
        <w:rPr>
          <w:rFonts w:hint="eastAsia" w:ascii="仿宋_GB2312" w:hAnsi="仿宋_GB2312" w:eastAsia="仿宋_GB2312" w:cs="仿宋_GB2312"/>
          <w:color w:val="FF0000"/>
          <w:sz w:val="32"/>
          <w:szCs w:val="32"/>
          <w:lang w:val="en-US" w:eastAsia="zh-CN"/>
        </w:rPr>
        <w:t>10万元以下为90%，10万元（含）至20万元（含）为92%，20万元以上为95%。</w:t>
      </w:r>
      <w:r>
        <w:rPr>
          <w:rFonts w:hint="eastAsia" w:ascii="仿宋_GB2312" w:hAnsi="仿宋_GB2312" w:eastAsia="仿宋_GB2312" w:cs="仿宋_GB2312"/>
          <w:sz w:val="32"/>
          <w:szCs w:val="32"/>
          <w:lang w:val="en-US" w:eastAsia="zh-CN"/>
        </w:rPr>
        <w:t>打破以往90%的固定报销比例，使参保职工得大病后，花费越高报销比例越高，进一步减轻大病患者负担。</w:t>
      </w:r>
    </w:p>
    <w:tbl>
      <w:tblPr>
        <w:tblStyle w:val="3"/>
        <w:tblW w:w="8778"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58"/>
        <w:gridCol w:w="1741"/>
        <w:gridCol w:w="1924"/>
        <w:gridCol w:w="1687"/>
        <w:gridCol w:w="1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1558" w:type="dxa"/>
            <w:vMerge w:val="restart"/>
            <w:tcBorders>
              <w:top w:val="single" w:color="FFFFFF" w:sz="6" w:space="0"/>
              <w:left w:val="single" w:color="FFFFFF" w:sz="6" w:space="0"/>
              <w:bottom w:val="single" w:color="FFFFFF" w:sz="18" w:space="0"/>
              <w:right w:val="single" w:color="FFFFFF" w:sz="6" w:space="0"/>
            </w:tcBorders>
            <w:shd w:val="clear" w:color="auto" w:fill="4F81BD"/>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b/>
                <w:color w:val="FFFFFF"/>
                <w:sz w:val="24"/>
                <w:szCs w:val="24"/>
              </w:rPr>
              <w:t>报销类型</w:t>
            </w:r>
          </w:p>
        </w:tc>
        <w:tc>
          <w:tcPr>
            <w:tcW w:w="1741" w:type="dxa"/>
            <w:vMerge w:val="restart"/>
            <w:tcBorders>
              <w:top w:val="single" w:color="FFFFFF" w:sz="6" w:space="0"/>
              <w:left w:val="single" w:color="FFFFFF" w:sz="6" w:space="0"/>
              <w:bottom w:val="single" w:color="FFFFFF" w:sz="18" w:space="0"/>
              <w:right w:val="single" w:color="FFFFFF" w:sz="6" w:space="0"/>
            </w:tcBorders>
            <w:shd w:val="clear" w:color="auto" w:fill="4F81BD"/>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b/>
                <w:color w:val="FF0000"/>
                <w:sz w:val="24"/>
                <w:szCs w:val="24"/>
              </w:rPr>
              <w:t>分段计算</w:t>
            </w:r>
          </w:p>
        </w:tc>
        <w:tc>
          <w:tcPr>
            <w:tcW w:w="3611" w:type="dxa"/>
            <w:gridSpan w:val="2"/>
            <w:tcBorders>
              <w:top w:val="single" w:color="FFFFFF" w:sz="6" w:space="0"/>
              <w:left w:val="single" w:color="FFFFFF" w:sz="6" w:space="0"/>
              <w:bottom w:val="single" w:color="FFFFFF" w:sz="18" w:space="0"/>
              <w:right w:val="single" w:color="FFFFFF" w:sz="6" w:space="0"/>
            </w:tcBorders>
            <w:shd w:val="clear" w:color="auto" w:fill="4F81BD"/>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b/>
                <w:color w:val="FFFFFF"/>
                <w:sz w:val="24"/>
                <w:szCs w:val="24"/>
              </w:rPr>
              <w:t>报销比例</w:t>
            </w:r>
          </w:p>
        </w:tc>
        <w:tc>
          <w:tcPr>
            <w:tcW w:w="1868" w:type="dxa"/>
            <w:vMerge w:val="restart"/>
            <w:tcBorders>
              <w:top w:val="single" w:color="FFFFFF" w:sz="6" w:space="0"/>
              <w:left w:val="single" w:color="FFFFFF" w:sz="6" w:space="0"/>
              <w:bottom w:val="single" w:color="FFFFFF" w:sz="18" w:space="0"/>
              <w:right w:val="single" w:color="FFFFFF" w:sz="6" w:space="0"/>
            </w:tcBorders>
            <w:shd w:val="clear" w:color="auto" w:fill="4F81BD"/>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b/>
                <w:color w:val="FFFFFF"/>
                <w:sz w:val="24"/>
                <w:szCs w:val="24"/>
              </w:rPr>
              <w:t>年度最高</w:t>
            </w:r>
          </w:p>
          <w:p>
            <w:pPr>
              <w:pStyle w:val="2"/>
              <w:keepNext w:val="0"/>
              <w:keepLines w:val="0"/>
              <w:widowControl/>
              <w:suppressLineNumbers w:val="0"/>
              <w:jc w:val="center"/>
              <w:rPr>
                <w:sz w:val="24"/>
                <w:szCs w:val="24"/>
              </w:rPr>
            </w:pPr>
            <w:r>
              <w:rPr>
                <w:b/>
                <w:color w:val="FFFFFF"/>
                <w:sz w:val="24"/>
                <w:szCs w:val="24"/>
              </w:rPr>
              <w:t>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1558" w:type="dxa"/>
            <w:vMerge w:val="continue"/>
            <w:tcBorders>
              <w:top w:val="single" w:color="FFFFFF" w:sz="6" w:space="0"/>
              <w:left w:val="single" w:color="FFFFFF" w:sz="6" w:space="0"/>
              <w:bottom w:val="single" w:color="FFFFFF" w:sz="18" w:space="0"/>
              <w:right w:val="single" w:color="FFFFFF" w:sz="6" w:space="0"/>
            </w:tcBorders>
            <w:shd w:val="clear" w:color="auto" w:fill="4F81BD"/>
            <w:tcMar>
              <w:top w:w="72" w:type="dxa"/>
              <w:left w:w="144" w:type="dxa"/>
              <w:bottom w:w="72" w:type="dxa"/>
              <w:right w:w="144" w:type="dxa"/>
            </w:tcMar>
            <w:vAlign w:val="center"/>
          </w:tcPr>
          <w:p>
            <w:pPr>
              <w:jc w:val="center"/>
              <w:rPr>
                <w:rFonts w:hint="eastAsia" w:ascii="宋体"/>
                <w:sz w:val="24"/>
                <w:szCs w:val="24"/>
              </w:rPr>
            </w:pPr>
          </w:p>
        </w:tc>
        <w:tc>
          <w:tcPr>
            <w:tcW w:w="1741" w:type="dxa"/>
            <w:vMerge w:val="continue"/>
            <w:tcBorders>
              <w:top w:val="single" w:color="FFFFFF" w:sz="6" w:space="0"/>
              <w:left w:val="single" w:color="FFFFFF" w:sz="6" w:space="0"/>
              <w:bottom w:val="single" w:color="FFFFFF" w:sz="18" w:space="0"/>
              <w:right w:val="single" w:color="FFFFFF" w:sz="6" w:space="0"/>
            </w:tcBorders>
            <w:shd w:val="clear" w:color="auto" w:fill="4F81BD"/>
            <w:tcMar>
              <w:top w:w="72" w:type="dxa"/>
              <w:left w:w="144" w:type="dxa"/>
              <w:bottom w:w="72" w:type="dxa"/>
              <w:right w:w="144" w:type="dxa"/>
            </w:tcMar>
            <w:vAlign w:val="center"/>
          </w:tcPr>
          <w:p>
            <w:pPr>
              <w:jc w:val="center"/>
              <w:rPr>
                <w:rFonts w:hint="eastAsia" w:ascii="宋体"/>
                <w:sz w:val="24"/>
                <w:szCs w:val="24"/>
              </w:rPr>
            </w:pPr>
          </w:p>
        </w:tc>
        <w:tc>
          <w:tcPr>
            <w:tcW w:w="1924" w:type="dxa"/>
            <w:tcBorders>
              <w:top w:val="single" w:color="FFFFFF" w:sz="6" w:space="0"/>
              <w:left w:val="single" w:color="FFFFFF" w:sz="6" w:space="0"/>
              <w:bottom w:val="single" w:color="FFFFFF" w:sz="18" w:space="0"/>
              <w:right w:val="single" w:color="FFFFFF" w:sz="6" w:space="0"/>
            </w:tcBorders>
            <w:shd w:val="clear" w:color="auto" w:fill="D0D8E8"/>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color w:val="404040"/>
                <w:sz w:val="24"/>
                <w:szCs w:val="24"/>
              </w:rPr>
              <w:t>省内（含京津直接定点）</w:t>
            </w:r>
          </w:p>
        </w:tc>
        <w:tc>
          <w:tcPr>
            <w:tcW w:w="1687" w:type="dxa"/>
            <w:tcBorders>
              <w:top w:val="single" w:color="FFFFFF" w:sz="6" w:space="0"/>
              <w:left w:val="single" w:color="FFFFFF" w:sz="6" w:space="0"/>
              <w:bottom w:val="single" w:color="FFFFFF" w:sz="18" w:space="0"/>
              <w:right w:val="single" w:color="FFFFFF" w:sz="6" w:space="0"/>
            </w:tcBorders>
            <w:shd w:val="clear" w:color="auto" w:fill="D0D8E8"/>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color w:val="404040"/>
                <w:sz w:val="24"/>
                <w:szCs w:val="24"/>
              </w:rPr>
              <w:t>省外异地</w:t>
            </w:r>
          </w:p>
        </w:tc>
        <w:tc>
          <w:tcPr>
            <w:tcW w:w="1868" w:type="dxa"/>
            <w:vMerge w:val="continue"/>
            <w:tcBorders>
              <w:top w:val="single" w:color="FFFFFF" w:sz="6" w:space="0"/>
              <w:left w:val="single" w:color="FFFFFF" w:sz="6" w:space="0"/>
              <w:bottom w:val="single" w:color="FFFFFF" w:sz="18" w:space="0"/>
              <w:right w:val="single" w:color="FFFFFF" w:sz="6" w:space="0"/>
            </w:tcBorders>
            <w:shd w:val="clear" w:color="auto" w:fill="4F81BD"/>
            <w:tcMar>
              <w:top w:w="72" w:type="dxa"/>
              <w:left w:w="144" w:type="dxa"/>
              <w:bottom w:w="72" w:type="dxa"/>
              <w:right w:w="144" w:type="dxa"/>
            </w:tcMar>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1558" w:type="dxa"/>
            <w:vMerge w:val="restart"/>
            <w:tcBorders>
              <w:top w:val="single" w:color="FFFFFF" w:sz="6" w:space="0"/>
              <w:left w:val="single" w:color="FFFFFF" w:sz="6" w:space="0"/>
              <w:bottom w:val="single" w:color="FFFFFF" w:sz="18" w:space="0"/>
              <w:right w:val="single" w:color="FFFFFF" w:sz="6" w:space="0"/>
            </w:tcBorders>
            <w:shd w:val="clear" w:color="auto" w:fill="E9EDF4"/>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color w:val="404040"/>
                <w:sz w:val="24"/>
                <w:szCs w:val="24"/>
              </w:rPr>
              <w:t>住院+</w:t>
            </w:r>
          </w:p>
          <w:p>
            <w:pPr>
              <w:pStyle w:val="2"/>
              <w:keepNext w:val="0"/>
              <w:keepLines w:val="0"/>
              <w:widowControl/>
              <w:suppressLineNumbers w:val="0"/>
              <w:jc w:val="center"/>
              <w:rPr>
                <w:sz w:val="24"/>
                <w:szCs w:val="24"/>
              </w:rPr>
            </w:pPr>
            <w:r>
              <w:rPr>
                <w:color w:val="404040"/>
                <w:sz w:val="24"/>
                <w:szCs w:val="24"/>
              </w:rPr>
              <w:t>门诊特殊病</w:t>
            </w:r>
          </w:p>
        </w:tc>
        <w:tc>
          <w:tcPr>
            <w:tcW w:w="1741" w:type="dxa"/>
            <w:tcBorders>
              <w:top w:val="single" w:color="FFFFFF" w:sz="6" w:space="0"/>
              <w:left w:val="single" w:color="FFFFFF" w:sz="6" w:space="0"/>
              <w:bottom w:val="single" w:color="FFFFFF" w:sz="18" w:space="0"/>
              <w:right w:val="single" w:color="FFFFFF" w:sz="6" w:space="0"/>
            </w:tcBorders>
            <w:shd w:val="clear" w:color="auto" w:fill="E9EDF4"/>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color w:val="FF0000"/>
                <w:sz w:val="24"/>
                <w:szCs w:val="24"/>
              </w:rPr>
              <w:t>10万元以下</w:t>
            </w:r>
          </w:p>
        </w:tc>
        <w:tc>
          <w:tcPr>
            <w:tcW w:w="1924" w:type="dxa"/>
            <w:tcBorders>
              <w:top w:val="single" w:color="FFFFFF" w:sz="6" w:space="0"/>
              <w:left w:val="single" w:color="FFFFFF" w:sz="6" w:space="0"/>
              <w:bottom w:val="single" w:color="FFFFFF" w:sz="18" w:space="0"/>
              <w:right w:val="single" w:color="FFFFFF" w:sz="6" w:space="0"/>
            </w:tcBorders>
            <w:shd w:val="clear" w:color="auto" w:fill="E9EDF4"/>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color w:val="404040"/>
                <w:sz w:val="24"/>
                <w:szCs w:val="24"/>
              </w:rPr>
              <w:t>90%</w:t>
            </w:r>
          </w:p>
        </w:tc>
        <w:tc>
          <w:tcPr>
            <w:tcW w:w="1687" w:type="dxa"/>
            <w:vMerge w:val="restart"/>
            <w:tcBorders>
              <w:top w:val="single" w:color="FFFFFF" w:sz="6" w:space="0"/>
              <w:left w:val="single" w:color="FFFFFF" w:sz="6" w:space="0"/>
              <w:bottom w:val="single" w:color="FFFFFF" w:sz="18" w:space="0"/>
              <w:right w:val="single" w:color="FFFFFF" w:sz="6" w:space="0"/>
            </w:tcBorders>
            <w:shd w:val="clear" w:color="auto" w:fill="E9EDF4"/>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color w:val="404040"/>
                <w:sz w:val="24"/>
                <w:szCs w:val="24"/>
              </w:rPr>
              <w:t>-5%</w:t>
            </w:r>
          </w:p>
        </w:tc>
        <w:tc>
          <w:tcPr>
            <w:tcW w:w="1868" w:type="dxa"/>
            <w:vMerge w:val="restart"/>
            <w:tcBorders>
              <w:top w:val="single" w:color="FFFFFF" w:sz="6" w:space="0"/>
              <w:left w:val="single" w:color="FFFFFF" w:sz="6" w:space="0"/>
              <w:bottom w:val="single" w:color="FFFFFF" w:sz="18" w:space="0"/>
              <w:right w:val="single" w:color="FFFFFF" w:sz="6" w:space="0"/>
            </w:tcBorders>
            <w:shd w:val="clear" w:color="auto" w:fill="E9EDF4"/>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b/>
                <w:color w:val="FF0000"/>
                <w:sz w:val="24"/>
                <w:szCs w:val="24"/>
              </w:rPr>
              <w:t>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1558" w:type="dxa"/>
            <w:vMerge w:val="continue"/>
            <w:tcBorders>
              <w:top w:val="single" w:color="FFFFFF" w:sz="6" w:space="0"/>
              <w:left w:val="single" w:color="FFFFFF" w:sz="6" w:space="0"/>
              <w:bottom w:val="single" w:color="FFFFFF" w:sz="18" w:space="0"/>
              <w:right w:val="single" w:color="FFFFFF" w:sz="6" w:space="0"/>
            </w:tcBorders>
            <w:shd w:val="clear" w:color="auto" w:fill="E9EDF4"/>
            <w:tcMar>
              <w:top w:w="72" w:type="dxa"/>
              <w:left w:w="144" w:type="dxa"/>
              <w:bottom w:w="72" w:type="dxa"/>
              <w:right w:w="144" w:type="dxa"/>
            </w:tcMar>
            <w:vAlign w:val="center"/>
          </w:tcPr>
          <w:p>
            <w:pPr>
              <w:rPr>
                <w:rFonts w:hint="eastAsia" w:ascii="宋体"/>
                <w:sz w:val="24"/>
                <w:szCs w:val="24"/>
              </w:rPr>
            </w:pPr>
          </w:p>
        </w:tc>
        <w:tc>
          <w:tcPr>
            <w:tcW w:w="1741" w:type="dxa"/>
            <w:tcBorders>
              <w:top w:val="single" w:color="FFFFFF" w:sz="6" w:space="0"/>
              <w:left w:val="single" w:color="FFFFFF" w:sz="6" w:space="0"/>
              <w:bottom w:val="single" w:color="FFFFFF" w:sz="18" w:space="0"/>
              <w:right w:val="single" w:color="FFFFFF" w:sz="6" w:space="0"/>
            </w:tcBorders>
            <w:shd w:val="clear" w:color="auto" w:fill="D0D8E8"/>
            <w:tcMar>
              <w:top w:w="72" w:type="dxa"/>
              <w:left w:w="144" w:type="dxa"/>
              <w:bottom w:w="72" w:type="dxa"/>
              <w:right w:w="144" w:type="dxa"/>
            </w:tcMar>
            <w:vAlign w:val="center"/>
          </w:tcPr>
          <w:p>
            <w:pPr>
              <w:pStyle w:val="2"/>
              <w:keepNext w:val="0"/>
              <w:keepLines w:val="0"/>
              <w:widowControl/>
              <w:suppressLineNumbers w:val="0"/>
              <w:rPr>
                <w:rFonts w:hint="eastAsia" w:eastAsiaTheme="minorEastAsia"/>
                <w:sz w:val="24"/>
                <w:szCs w:val="24"/>
                <w:lang w:eastAsia="zh-CN"/>
              </w:rPr>
            </w:pPr>
            <w:r>
              <w:rPr>
                <w:color w:val="FF0000"/>
                <w:sz w:val="24"/>
                <w:szCs w:val="24"/>
              </w:rPr>
              <w:t>10万</w:t>
            </w:r>
            <w:r>
              <w:rPr>
                <w:rFonts w:hint="eastAsia"/>
                <w:color w:val="FF0000"/>
                <w:sz w:val="24"/>
                <w:szCs w:val="24"/>
                <w:lang w:eastAsia="zh-CN"/>
              </w:rPr>
              <w:t>元（含）</w:t>
            </w:r>
            <w:r>
              <w:rPr>
                <w:color w:val="FF0000"/>
                <w:sz w:val="24"/>
                <w:szCs w:val="24"/>
              </w:rPr>
              <w:t>-20万元</w:t>
            </w:r>
            <w:r>
              <w:rPr>
                <w:rFonts w:hint="eastAsia"/>
                <w:color w:val="FF0000"/>
                <w:sz w:val="24"/>
                <w:szCs w:val="24"/>
                <w:lang w:eastAsia="zh-CN"/>
              </w:rPr>
              <w:t>（含）</w:t>
            </w:r>
          </w:p>
        </w:tc>
        <w:tc>
          <w:tcPr>
            <w:tcW w:w="1924" w:type="dxa"/>
            <w:tcBorders>
              <w:top w:val="single" w:color="FFFFFF" w:sz="6" w:space="0"/>
              <w:left w:val="single" w:color="FFFFFF" w:sz="6" w:space="0"/>
              <w:bottom w:val="single" w:color="FFFFFF" w:sz="18" w:space="0"/>
              <w:right w:val="single" w:color="FFFFFF" w:sz="6" w:space="0"/>
            </w:tcBorders>
            <w:shd w:val="clear" w:color="auto" w:fill="D0D8E8"/>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color w:val="FF0000"/>
                <w:sz w:val="24"/>
                <w:szCs w:val="24"/>
              </w:rPr>
              <w:t>92%</w:t>
            </w:r>
          </w:p>
        </w:tc>
        <w:tc>
          <w:tcPr>
            <w:tcW w:w="1687" w:type="dxa"/>
            <w:vMerge w:val="continue"/>
            <w:tcBorders>
              <w:top w:val="single" w:color="FFFFFF" w:sz="6" w:space="0"/>
              <w:left w:val="single" w:color="FFFFFF" w:sz="6" w:space="0"/>
              <w:bottom w:val="single" w:color="FFFFFF" w:sz="18" w:space="0"/>
              <w:right w:val="single" w:color="FFFFFF" w:sz="6" w:space="0"/>
            </w:tcBorders>
            <w:shd w:val="clear" w:color="auto" w:fill="E9EDF4"/>
            <w:tcMar>
              <w:top w:w="72" w:type="dxa"/>
              <w:left w:w="144" w:type="dxa"/>
              <w:bottom w:w="72" w:type="dxa"/>
              <w:right w:w="144" w:type="dxa"/>
            </w:tcMar>
            <w:vAlign w:val="center"/>
          </w:tcPr>
          <w:p>
            <w:pPr>
              <w:rPr>
                <w:rFonts w:hint="eastAsia" w:ascii="宋体"/>
                <w:sz w:val="24"/>
                <w:szCs w:val="24"/>
              </w:rPr>
            </w:pPr>
          </w:p>
        </w:tc>
        <w:tc>
          <w:tcPr>
            <w:tcW w:w="1868" w:type="dxa"/>
            <w:vMerge w:val="continue"/>
            <w:tcBorders>
              <w:top w:val="single" w:color="FFFFFF" w:sz="6" w:space="0"/>
              <w:left w:val="single" w:color="FFFFFF" w:sz="6" w:space="0"/>
              <w:bottom w:val="single" w:color="FFFFFF" w:sz="18" w:space="0"/>
              <w:right w:val="single" w:color="FFFFFF" w:sz="6" w:space="0"/>
            </w:tcBorders>
            <w:shd w:val="clear" w:color="auto" w:fill="E9EDF4"/>
            <w:tcMar>
              <w:top w:w="72" w:type="dxa"/>
              <w:left w:w="144" w:type="dxa"/>
              <w:bottom w:w="72" w:type="dxa"/>
              <w:right w:w="14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1558" w:type="dxa"/>
            <w:vMerge w:val="continue"/>
            <w:tcBorders>
              <w:top w:val="single" w:color="FFFFFF" w:sz="6" w:space="0"/>
              <w:left w:val="single" w:color="FFFFFF" w:sz="6" w:space="0"/>
              <w:bottom w:val="single" w:color="FFFFFF" w:sz="18" w:space="0"/>
              <w:right w:val="single" w:color="FFFFFF" w:sz="6" w:space="0"/>
            </w:tcBorders>
            <w:shd w:val="clear" w:color="auto" w:fill="E9EDF4"/>
            <w:tcMar>
              <w:top w:w="72" w:type="dxa"/>
              <w:left w:w="144" w:type="dxa"/>
              <w:bottom w:w="72" w:type="dxa"/>
              <w:right w:w="144" w:type="dxa"/>
            </w:tcMar>
            <w:vAlign w:val="center"/>
          </w:tcPr>
          <w:p>
            <w:pPr>
              <w:rPr>
                <w:rFonts w:hint="eastAsia" w:ascii="宋体"/>
                <w:sz w:val="24"/>
                <w:szCs w:val="24"/>
              </w:rPr>
            </w:pPr>
          </w:p>
        </w:tc>
        <w:tc>
          <w:tcPr>
            <w:tcW w:w="1741" w:type="dxa"/>
            <w:tcBorders>
              <w:top w:val="single" w:color="FFFFFF" w:sz="6" w:space="0"/>
              <w:left w:val="single" w:color="FFFFFF" w:sz="6" w:space="0"/>
              <w:bottom w:val="single" w:color="FFFFFF" w:sz="18" w:space="0"/>
              <w:right w:val="single" w:color="FFFFFF" w:sz="6" w:space="0"/>
            </w:tcBorders>
            <w:shd w:val="clear" w:color="auto" w:fill="E9EDF4"/>
            <w:tcMar>
              <w:top w:w="72" w:type="dxa"/>
              <w:left w:w="144" w:type="dxa"/>
              <w:bottom w:w="72" w:type="dxa"/>
              <w:right w:w="144" w:type="dxa"/>
            </w:tcMar>
            <w:vAlign w:val="center"/>
          </w:tcPr>
          <w:p>
            <w:pPr>
              <w:pStyle w:val="2"/>
              <w:keepNext w:val="0"/>
              <w:keepLines w:val="0"/>
              <w:widowControl/>
              <w:suppressLineNumbers w:val="0"/>
              <w:rPr>
                <w:sz w:val="24"/>
                <w:szCs w:val="24"/>
              </w:rPr>
            </w:pPr>
            <w:r>
              <w:rPr>
                <w:color w:val="FF0000"/>
                <w:sz w:val="24"/>
                <w:szCs w:val="24"/>
              </w:rPr>
              <w:t>20万元以上</w:t>
            </w:r>
          </w:p>
        </w:tc>
        <w:tc>
          <w:tcPr>
            <w:tcW w:w="1924" w:type="dxa"/>
            <w:tcBorders>
              <w:top w:val="single" w:color="FFFFFF" w:sz="6" w:space="0"/>
              <w:left w:val="single" w:color="FFFFFF" w:sz="6" w:space="0"/>
              <w:bottom w:val="single" w:color="FFFFFF" w:sz="18" w:space="0"/>
              <w:right w:val="single" w:color="FFFFFF" w:sz="6" w:space="0"/>
            </w:tcBorders>
            <w:shd w:val="clear" w:color="auto" w:fill="E9EDF4"/>
            <w:tcMar>
              <w:top w:w="72" w:type="dxa"/>
              <w:left w:w="144" w:type="dxa"/>
              <w:bottom w:w="72" w:type="dxa"/>
              <w:right w:w="144" w:type="dxa"/>
            </w:tcMar>
            <w:vAlign w:val="center"/>
          </w:tcPr>
          <w:p>
            <w:pPr>
              <w:pStyle w:val="2"/>
              <w:keepNext w:val="0"/>
              <w:keepLines w:val="0"/>
              <w:widowControl/>
              <w:suppressLineNumbers w:val="0"/>
              <w:jc w:val="center"/>
              <w:rPr>
                <w:sz w:val="24"/>
                <w:szCs w:val="24"/>
              </w:rPr>
            </w:pPr>
            <w:r>
              <w:rPr>
                <w:color w:val="FF0000"/>
                <w:sz w:val="24"/>
                <w:szCs w:val="24"/>
              </w:rPr>
              <w:t>95%</w:t>
            </w:r>
          </w:p>
        </w:tc>
        <w:tc>
          <w:tcPr>
            <w:tcW w:w="1687" w:type="dxa"/>
            <w:vMerge w:val="continue"/>
            <w:tcBorders>
              <w:top w:val="single" w:color="FFFFFF" w:sz="6" w:space="0"/>
              <w:left w:val="single" w:color="FFFFFF" w:sz="6" w:space="0"/>
              <w:bottom w:val="single" w:color="FFFFFF" w:sz="18" w:space="0"/>
              <w:right w:val="single" w:color="FFFFFF" w:sz="6" w:space="0"/>
            </w:tcBorders>
            <w:shd w:val="clear" w:color="auto" w:fill="E9EDF4"/>
            <w:tcMar>
              <w:top w:w="72" w:type="dxa"/>
              <w:left w:w="144" w:type="dxa"/>
              <w:bottom w:w="72" w:type="dxa"/>
              <w:right w:w="144" w:type="dxa"/>
            </w:tcMar>
            <w:vAlign w:val="center"/>
          </w:tcPr>
          <w:p>
            <w:pPr>
              <w:rPr>
                <w:rFonts w:hint="eastAsia" w:ascii="宋体"/>
                <w:sz w:val="24"/>
                <w:szCs w:val="24"/>
              </w:rPr>
            </w:pPr>
          </w:p>
        </w:tc>
        <w:tc>
          <w:tcPr>
            <w:tcW w:w="1868" w:type="dxa"/>
            <w:vMerge w:val="continue"/>
            <w:tcBorders>
              <w:top w:val="single" w:color="FFFFFF" w:sz="6" w:space="0"/>
              <w:left w:val="single" w:color="FFFFFF" w:sz="6" w:space="0"/>
              <w:bottom w:val="single" w:color="FFFFFF" w:sz="18" w:space="0"/>
              <w:right w:val="single" w:color="FFFFFF" w:sz="6" w:space="0"/>
            </w:tcBorders>
            <w:shd w:val="clear" w:color="auto" w:fill="E9EDF4"/>
            <w:tcMar>
              <w:top w:w="72" w:type="dxa"/>
              <w:left w:w="144" w:type="dxa"/>
              <w:bottom w:w="72" w:type="dxa"/>
              <w:right w:w="144" w:type="dxa"/>
            </w:tcMar>
            <w:vAlign w:val="center"/>
          </w:tcPr>
          <w:p>
            <w:pPr>
              <w:rPr>
                <w:rFonts w:hint="eastAsia" w:ascii="宋体"/>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23926"/>
    <w:rsid w:val="03030678"/>
    <w:rsid w:val="04206E49"/>
    <w:rsid w:val="1B0349FE"/>
    <w:rsid w:val="1CA35D62"/>
    <w:rsid w:val="1DE90BC3"/>
    <w:rsid w:val="207C2AB8"/>
    <w:rsid w:val="38383D8C"/>
    <w:rsid w:val="51C23926"/>
    <w:rsid w:val="5DF040F0"/>
    <w:rsid w:val="65DD0739"/>
    <w:rsid w:val="65E84011"/>
    <w:rsid w:val="692A42CA"/>
    <w:rsid w:val="6BB1640E"/>
    <w:rsid w:val="6D345681"/>
    <w:rsid w:val="7813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2022-02-15T02:23:00Z</dcterms:created>
  <dc:creator>Administrator</dc:creator>
  <cp:lastModifiedBy>Administrator</cp:lastModifiedBy>
  <cp:lastPrinted>2022-02-15T04:45:21Z</cp:lastPrinted>
  <dcterms:modified xsi:type="dcterms:W3CDTF">2022-02-15T05:49:15Z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