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秦皇岛市医疗保障局权责清单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权责清单事项总表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27"/>
        <w:gridCol w:w="990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总序号</w:t>
            </w:r>
          </w:p>
        </w:tc>
        <w:tc>
          <w:tcPr>
            <w:tcW w:w="1827"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类别及序号</w:t>
            </w:r>
          </w:p>
        </w:tc>
        <w:tc>
          <w:tcPr>
            <w:tcW w:w="990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项目名称及数量</w:t>
            </w:r>
          </w:p>
        </w:tc>
        <w:tc>
          <w:tcPr>
            <w:tcW w:w="1557"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行政处罚</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共8项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182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对用人单位不办理医疗保险和生育保险登记、未按规定变更登记或注销登记以及伪造、变造登记证明的处罚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对定点医药机构以分解住院、挂床住院、违反诊疗规范过度诊疗等违法行为造成医疗保障基金损失的处罚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对定点医药机构违反内部管理规定以及未按规定向医疗保障部门传送数据、信息或不配合监督检查等行为的处罚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对以欺诈、伪造证明材料或者其他手段骗取医疗保险、生育保险待遇的处罚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对采取虚报、隐瞒、伪造等手段，骗取医疗救助基金的处罚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对以违反医药价格管理政策等为手段，骗取医保基金支出行为的处罚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对参加药品采购投标的投标人的违法行为进行监督管理</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行政强制</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共1项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9</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对被转移、隐匿或者灭失的医疗保障基金收支、管理相关的资料予以封存</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行政检查</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共7项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10</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对用人单位和个人遵守医疗保险法律、法规情况进行监督检查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11</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医疗保险稽核</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12</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对公立医疗机构药品和高值医用耗材集中采购行为合规性的监督检查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13</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对医疗救助的监督检查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14</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对药品、医用耗材价格进行监测和成本调查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对药品上市许可持有人、药品和医用耗材生产企业、药品经营企业和医疗机构向医药价格主管部门提供其药品、医用耗材的实际购销价格和购销数量等资料的监督检查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16</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对纳入基本医疗保险基金支付范围的医疗服务行为和医疗费用进行监督管理</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行政奖励</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共1项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17</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对举报人举报欺诈骗取医保基金行为进行奖励</w:t>
            </w:r>
          </w:p>
        </w:tc>
        <w:tc>
          <w:tcPr>
            <w:tcW w:w="1557" w:type="dxa"/>
          </w:tcPr>
          <w:p>
            <w:pPr>
              <w:jc w:val="center"/>
              <w:rPr>
                <w:rFonts w:hint="default"/>
                <w:vertAlign w:val="baseline"/>
                <w:lang w:val="en-US" w:eastAsia="zh-CN"/>
              </w:rPr>
            </w:pPr>
          </w:p>
        </w:tc>
      </w:tr>
    </w:tbl>
    <w:p>
      <w:pPr>
        <w:jc w:val="center"/>
        <w:rPr>
          <w:rFonts w:hint="eastAsia" w:ascii="方正小标宋简体" w:hAnsi="方正小标宋简体" w:eastAsia="方正小标宋简体" w:cs="方正小标宋简体"/>
          <w:sz w:val="36"/>
          <w:szCs w:val="36"/>
          <w:lang w:val="en-US" w:eastAsia="zh-CN"/>
        </w:rPr>
      </w:pPr>
      <w:r>
        <w:rPr>
          <w:rFonts w:hint="default"/>
          <w:lang w:val="en-US" w:eastAsia="zh-CN"/>
        </w:rPr>
        <w:br w:type="page"/>
      </w:r>
      <w:r>
        <w:rPr>
          <w:rFonts w:hint="eastAsia" w:ascii="方正小标宋简体" w:hAnsi="方正小标宋简体" w:eastAsia="方正小标宋简体" w:cs="方正小标宋简体"/>
          <w:sz w:val="36"/>
          <w:szCs w:val="36"/>
          <w:lang w:val="en-US" w:eastAsia="zh-CN"/>
        </w:rPr>
        <w:t>权责清单事项分表</w:t>
      </w:r>
    </w:p>
    <w:tbl>
      <w:tblPr>
        <w:tblStyle w:val="6"/>
        <w:tblW w:w="15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4"/>
        <w:gridCol w:w="850"/>
        <w:gridCol w:w="630"/>
        <w:gridCol w:w="3705"/>
        <w:gridCol w:w="1051"/>
        <w:gridCol w:w="964"/>
        <w:gridCol w:w="3969"/>
        <w:gridCol w:w="34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vAlign w:val="center"/>
          </w:tcPr>
          <w:p>
            <w:pPr>
              <w:keepNext w:val="0"/>
              <w:keepLines w:val="0"/>
              <w:widowControl/>
              <w:suppressLineNumbers w:val="0"/>
              <w:jc w:val="both"/>
              <w:textAlignment w:val="center"/>
              <w:rPr>
                <w:rFonts w:ascii="黑体" w:eastAsia="黑体" w:cs="黑体"/>
                <w:i w:val="0"/>
                <w:color w:val="000000"/>
                <w:sz w:val="24"/>
                <w:szCs w:val="24"/>
                <w:u w:val="none"/>
              </w:rPr>
            </w:pPr>
          </w:p>
        </w:tc>
        <w:tc>
          <w:tcPr>
            <w:tcW w:w="85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类型</w:t>
            </w:r>
          </w:p>
        </w:tc>
        <w:tc>
          <w:tcPr>
            <w:tcW w:w="63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事项</w:t>
            </w:r>
          </w:p>
        </w:tc>
        <w:tc>
          <w:tcPr>
            <w:tcW w:w="3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实施依据</w:t>
            </w:r>
          </w:p>
        </w:tc>
        <w:tc>
          <w:tcPr>
            <w:tcW w:w="10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省级</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主管部门</w:t>
            </w:r>
          </w:p>
        </w:tc>
        <w:tc>
          <w:tcPr>
            <w:tcW w:w="96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实施</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层级</w:t>
            </w:r>
          </w:p>
        </w:tc>
        <w:tc>
          <w:tcPr>
            <w:tcW w:w="396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责任事项</w:t>
            </w:r>
          </w:p>
        </w:tc>
        <w:tc>
          <w:tcPr>
            <w:tcW w:w="340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追责情形</w:t>
            </w:r>
          </w:p>
        </w:tc>
        <w:tc>
          <w:tcPr>
            <w:tcW w:w="56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对用人单位不办理医疗保险和生育保险登记、未按规定变更登记或注销登记以及伪造、变造登记证明的处罚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《中华人民共和国社会保险法》第八十四条 用人单位不办理社会保险登记的，由社会保险行政部门责令限期改正；逾期不改正的，对用人单位处应缴社会保险费数额1倍以上3倍以下的罚款，对其直接负责的主管人员和其他直接责任人员处5百元以上3千元以下的罚款。</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1.立案责任：发现用人单位不办理医疗保险和生育保险登记、未按规定变更登记或注销登记以及伪造、变造登记证明的违法行为，予以审查，决定是否立案。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eastAsia" w:asci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default" w:ascii="仿宋_GB2312" w:eastAsia="仿宋_GB2312" w:cs="仿宋_GB2312"/>
                <w:i w:val="0"/>
                <w:color w:val="000000"/>
                <w:sz w:val="18"/>
                <w:szCs w:val="18"/>
                <w:u w:val="none"/>
                <w:lang w:val="en-US"/>
              </w:rPr>
            </w:pPr>
            <w:r>
              <w:rPr>
                <w:rFonts w:hint="eastAsia" w:ascii="方正仿宋_GB2312" w:hAnsi="方正仿宋_GB2312" w:eastAsia="方正仿宋_GB2312" w:cs="方正仿宋_GB2312"/>
                <w:color w:val="000000"/>
                <w:sz w:val="18"/>
                <w:szCs w:val="18"/>
                <w:vertAlign w:val="baseline"/>
                <w:lang w:val="en-US" w:eastAsia="zh-CN"/>
              </w:rPr>
              <w:t>对定点医药机构以分解住院、挂床住院、违反诊疗规范过度诊疗等违法行为造成医疗保障基金损失的处罚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《医疗保障基金使用监督管理条例》(中华人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民共和国国务院令第735号</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2021年5月1日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施行)第三十八条</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t>定点医药机构有下列情形之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一的、由医疗保障行政部门责令改正</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并可以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约谈有关负责人</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w:t>
            </w:r>
            <w:r>
              <w:rPr>
                <w:rFonts w:hint="eastAsia" w:ascii="仿宋_GB2312" w:eastAsia="仿宋_GB2312" w:cs="仿宋_GB2312"/>
                <w:color w:val="000000"/>
                <w:kern w:val="0"/>
                <w:sz w:val="18"/>
                <w:szCs w:val="18"/>
                <w:lang w:val="en-US" w:eastAsia="zh-CN"/>
              </w:rPr>
              <w:t>金</w:t>
            </w:r>
            <w:r>
              <w:rPr>
                <w:rFonts w:hint="eastAsia" w:ascii="仿宋_GB2312" w:eastAsia="仿宋_GB2312" w:cs="仿宋_GB2312"/>
                <w:color w:val="000000"/>
                <w:kern w:val="0"/>
                <w:sz w:val="18"/>
                <w:szCs w:val="18"/>
              </w:rPr>
              <w:t>损失的</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责令退回</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处造成损失金额1倍以上2倍以下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的罚款</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拒不改正或者造成严重后果的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责</w:t>
            </w:r>
            <w:r>
              <w:rPr>
                <w:rFonts w:hint="eastAsia" w:ascii="仿宋_GB2312" w:eastAsia="仿宋_GB2312" w:cs="仿宋_GB2312"/>
                <w:color w:val="000000"/>
                <w:kern w:val="0"/>
                <w:sz w:val="18"/>
                <w:szCs w:val="18"/>
              </w:rPr>
              <w:t>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定点医药机构暂停相关责任部门6个月以上1</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年以下涉及医疗保障基金使用的医药服务</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反其他法律、行政法规的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由有关主管部门依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法处理</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分解住院、挂床住院</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二</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违</w:t>
            </w:r>
            <w:r>
              <w:rPr>
                <w:rFonts w:hint="eastAsia" w:ascii="仿宋_GB2312" w:eastAsia="仿宋_GB2312" w:cs="仿宋_GB2312"/>
                <w:color w:val="000000"/>
                <w:kern w:val="0"/>
                <w:sz w:val="18"/>
                <w:szCs w:val="18"/>
              </w:rPr>
              <w:t>反诊疗规范过度诊疗、过度检查、分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解处方、超量开药、重复开药或者提供其他不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必要的医药服务</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三</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重复收费、超标准收费、分解项目收费</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四</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串换药品、医用耗材、诊疗项目和服务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设施</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五</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为参保人员利用其享受医疗保障待遇的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机会转卖药品</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接受返还现金</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实物</w:t>
            </w:r>
            <w:r>
              <w:rPr>
                <w:rFonts w:hint="eastAsia" w:ascii="仿宋_GB2312" w:eastAsia="仿宋_GB2312" w:cs="仿宋_GB2312"/>
                <w:color w:val="000000"/>
                <w:kern w:val="0"/>
                <w:sz w:val="18"/>
                <w:szCs w:val="18"/>
                <w:lang w:val="en-US" w:eastAsia="zh-CN"/>
              </w:rPr>
              <w:t>或</w:t>
            </w:r>
            <w:r>
              <w:rPr>
                <w:rFonts w:hint="eastAsia" w:ascii="仿宋_GB2312" w:eastAsia="仿宋_GB2312" w:cs="仿宋_GB2312"/>
                <w:color w:val="000000"/>
                <w:kern w:val="0"/>
                <w:sz w:val="18"/>
                <w:szCs w:val="18"/>
              </w:rPr>
              <w:t>者获得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其他非法利益提供便利</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六</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将不属于医疗保障基金支付范围的医药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费用纳入医疗保障基金结算</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七</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造成医疗保障基金损失的其他违法行为</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1.立案责任：发现定点医药机构以分解住院，挂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床住院，违反诊疗规范过度诊疗等违法行为造成医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疗保障基金损失的违法行为，予以审查，决定是否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专人负责，及时组织调查取证，与当事人有直接利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害关系的应当回避，执法人员不得少于两人，调查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时应出示执法证件，允许当事人辩解陈述。执法人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3.调查责任：审理案件调查报告，对案件违法事实、证据、调查取证程序、法律适用、处罚种类和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幅度、当事人陈述和申辩理由等方面进行审查，提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出处理意见(主要证据不足时，以适当方式补充调查)。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政处罚告知书》送达当事人，告知违法事实及其享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有的陈述、申辩等权利符合听证规定的，制作并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5.决定责任；行政处罚决定书，载明行政处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形的，行政机关及相关工作人员应承担相应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处罚的违法行为不予制止、处罚，致使医疗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方正仿宋_GB2312" w:hAnsi="方正仿宋_GB2312" w:eastAsia="方正仿宋_GB2312" w:cs="方正仿宋_GB2312"/>
                <w:color w:val="000000"/>
                <w:sz w:val="18"/>
                <w:szCs w:val="18"/>
                <w:vertAlign w:val="baseline"/>
                <w:lang w:val="en-US" w:eastAsia="zh-CN"/>
              </w:rPr>
              <w:t>对定点医药机构违反内部管理规定以及未按规定向医疗保障部门传送数据、信息或不配合监督检查等行为的处罚</w:t>
            </w:r>
          </w:p>
        </w:tc>
        <w:tc>
          <w:tcPr>
            <w:tcW w:w="3705" w:type="dxa"/>
            <w:tcBorders>
              <w:tl2br w:val="nil"/>
              <w:tr2bl w:val="nil"/>
            </w:tcBorders>
            <w:shd w:val="clear" w:color="auto" w:fill="FFFFFF"/>
            <w:vAlign w:val="center"/>
          </w:tcPr>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《医疗保障基金使用监督管理条例》(中华人</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民共和国国务院令第735号</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2021年5月1日</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施行)第三十九条</w:t>
            </w:r>
            <w:r>
              <w:rPr>
                <w:rFonts w:hint="eastAsia" w:ascii="方正仿宋_GB2312" w:hAnsi="方正仿宋_GB2312" w:eastAsia="方正仿宋_GB2312" w:cs="方正仿宋_GB2312"/>
                <w:color w:val="000000"/>
                <w:sz w:val="18"/>
                <w:szCs w:val="18"/>
                <w:lang w:val="en-US" w:eastAsia="zh-CN"/>
              </w:rPr>
              <w:t xml:space="preserve"> </w:t>
            </w:r>
            <w:r>
              <w:rPr>
                <w:rFonts w:hint="eastAsia" w:ascii="方正仿宋_GB2312" w:hAnsi="方正仿宋_GB2312" w:eastAsia="方正仿宋_GB2312" w:cs="方正仿宋_GB2312"/>
                <w:color w:val="000000"/>
                <w:sz w:val="18"/>
                <w:szCs w:val="18"/>
              </w:rPr>
              <w:t>定点医药机构有下列情形</w:t>
            </w:r>
            <w:r>
              <w:rPr>
                <w:rFonts w:hint="eastAsia" w:ascii="方正仿宋_GB2312" w:hAnsi="方正仿宋_GB2312" w:eastAsia="方正仿宋_GB2312" w:cs="方正仿宋_GB2312"/>
                <w:color w:val="000000"/>
                <w:sz w:val="18"/>
                <w:szCs w:val="18"/>
                <w:lang w:val="en-US" w:eastAsia="zh-CN"/>
              </w:rPr>
              <w:t>之</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一的</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由医疗保障行政部门</w:t>
            </w:r>
            <w:r>
              <w:rPr>
                <w:rFonts w:hint="eastAsia" w:ascii="方正仿宋_GB2312" w:hAnsi="方正仿宋_GB2312" w:eastAsia="方正仿宋_GB2312" w:cs="方正仿宋_GB2312"/>
                <w:color w:val="000000"/>
                <w:sz w:val="18"/>
                <w:szCs w:val="18"/>
                <w:lang w:val="en-US" w:eastAsia="zh-CN"/>
              </w:rPr>
              <w:t>责</w:t>
            </w:r>
            <w:r>
              <w:rPr>
                <w:rFonts w:hint="eastAsia" w:ascii="方正仿宋_GB2312" w:hAnsi="方正仿宋_GB2312" w:eastAsia="方正仿宋_GB2312" w:cs="方正仿宋_GB2312"/>
                <w:color w:val="000000"/>
                <w:sz w:val="18"/>
                <w:szCs w:val="18"/>
              </w:rPr>
              <w:t>令改正</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并可以</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约谈有关负责人</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拒不改正的</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处1万元以上</w:t>
            </w:r>
            <w:r>
              <w:rPr>
                <w:rFonts w:hint="eastAsia" w:ascii="方正仿宋_GB2312" w:hAnsi="方正仿宋_GB2312" w:eastAsia="方正仿宋_GB2312" w:cs="方正仿宋_GB2312"/>
                <w:color w:val="000000"/>
                <w:sz w:val="18"/>
                <w:szCs w:val="18"/>
                <w:lang w:val="en-US" w:eastAsia="zh-CN"/>
              </w:rPr>
              <w:t>5</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万元以下的罚款</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违反其他法律、行政法规的</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由有关主管部门依法处理</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一</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未建立医疗保障基金使用内部管理制度</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或</w:t>
            </w:r>
            <w:r>
              <w:rPr>
                <w:rFonts w:hint="eastAsia" w:ascii="方正仿宋_GB2312" w:hAnsi="方正仿宋_GB2312" w:eastAsia="方正仿宋_GB2312" w:cs="方正仿宋_GB2312"/>
                <w:color w:val="000000"/>
                <w:sz w:val="18"/>
                <w:szCs w:val="18"/>
                <w:lang w:val="en-US" w:eastAsia="zh-CN"/>
              </w:rPr>
              <w:t>者</w:t>
            </w:r>
            <w:r>
              <w:rPr>
                <w:rFonts w:hint="eastAsia" w:ascii="方正仿宋_GB2312" w:hAnsi="方正仿宋_GB2312" w:eastAsia="方正仿宋_GB2312" w:cs="方正仿宋_GB2312"/>
                <w:color w:val="000000"/>
                <w:sz w:val="18"/>
                <w:szCs w:val="18"/>
              </w:rPr>
              <w:t>没有专门机构或者人员负责医疗保障基金</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使用管理工作</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二</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未按照规定保管财务账目、会计凭证</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处方、病历、治疗检查记录、费用明细、药品</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和医用耗材出入库记录等资料</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三</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未按照规定通过医疗保障信息系统传</w:t>
            </w:r>
            <w:r>
              <w:rPr>
                <w:rFonts w:hint="eastAsia" w:ascii="方正仿宋_GB2312" w:hAnsi="方正仿宋_GB2312" w:eastAsia="方正仿宋_GB2312" w:cs="方正仿宋_GB2312"/>
                <w:color w:val="000000"/>
                <w:sz w:val="18"/>
                <w:szCs w:val="18"/>
                <w:lang w:val="en-US" w:eastAsia="zh-CN"/>
              </w:rPr>
              <w:t>送</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医疗保障基金使用有关数据</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四</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未按照规定向医疗保障行政部门报告</w:t>
            </w:r>
            <w:r>
              <w:rPr>
                <w:rFonts w:hint="eastAsia" w:ascii="方正仿宋_GB2312" w:hAnsi="方正仿宋_GB2312" w:eastAsia="方正仿宋_GB2312" w:cs="方正仿宋_GB2312"/>
                <w:color w:val="000000"/>
                <w:sz w:val="18"/>
                <w:szCs w:val="18"/>
                <w:lang w:val="en-US" w:eastAsia="zh-CN"/>
              </w:rPr>
              <w:t>医</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疗保障基金使用</w:t>
            </w:r>
            <w:r>
              <w:rPr>
                <w:rFonts w:hint="eastAsia" w:ascii="方正仿宋_GB2312" w:hAnsi="方正仿宋_GB2312" w:eastAsia="方正仿宋_GB2312" w:cs="方正仿宋_GB2312"/>
                <w:color w:val="000000"/>
                <w:sz w:val="18"/>
                <w:szCs w:val="18"/>
                <w:lang w:val="en-US" w:eastAsia="zh-CN"/>
              </w:rPr>
              <w:t>监</w:t>
            </w:r>
            <w:r>
              <w:rPr>
                <w:rFonts w:hint="eastAsia" w:ascii="方正仿宋_GB2312" w:hAnsi="方正仿宋_GB2312" w:eastAsia="方正仿宋_GB2312" w:cs="方正仿宋_GB2312"/>
                <w:color w:val="000000"/>
                <w:sz w:val="18"/>
                <w:szCs w:val="18"/>
              </w:rPr>
              <w:t>督管理所需信息</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五</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未按照规定向社会公开医药费用、费</w:t>
            </w:r>
            <w:r>
              <w:rPr>
                <w:rFonts w:hint="eastAsia" w:ascii="方正仿宋_GB2312" w:hAnsi="方正仿宋_GB2312" w:eastAsia="方正仿宋_GB2312" w:cs="方正仿宋_GB2312"/>
                <w:color w:val="000000"/>
                <w:sz w:val="18"/>
                <w:szCs w:val="18"/>
                <w:lang w:val="en-US" w:eastAsia="zh-CN"/>
              </w:rPr>
              <w:t>用</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结构等信息</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六</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除急诊、抢救等特殊情形外</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未经参</w:t>
            </w:r>
            <w:r>
              <w:rPr>
                <w:rFonts w:hint="eastAsia" w:ascii="方正仿宋_GB2312" w:hAnsi="方正仿宋_GB2312" w:eastAsia="方正仿宋_GB2312" w:cs="方正仿宋_GB2312"/>
                <w:color w:val="000000"/>
                <w:sz w:val="18"/>
                <w:szCs w:val="18"/>
                <w:lang w:val="en-US" w:eastAsia="zh-CN"/>
              </w:rPr>
              <w:t>保</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人员或者其近亲属</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监护人同意提供医疗保</w:t>
            </w:r>
            <w:r>
              <w:rPr>
                <w:rFonts w:hint="eastAsia" w:ascii="方正仿宋_GB2312" w:hAnsi="方正仿宋_GB2312" w:eastAsia="方正仿宋_GB2312" w:cs="方正仿宋_GB2312"/>
                <w:color w:val="000000"/>
                <w:sz w:val="18"/>
                <w:szCs w:val="18"/>
                <w:lang w:val="en-US" w:eastAsia="zh-CN"/>
              </w:rPr>
              <w:t>障</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基金支付范围以外的医药服务</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七</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拒绝医疗保障等行政部门监督检查或</w:t>
            </w:r>
            <w:r>
              <w:rPr>
                <w:rFonts w:hint="eastAsia" w:ascii="方正仿宋_GB2312" w:hAnsi="方正仿宋_GB2312" w:eastAsia="方正仿宋_GB2312" w:cs="方正仿宋_GB2312"/>
                <w:color w:val="000000"/>
                <w:sz w:val="18"/>
                <w:szCs w:val="18"/>
                <w:lang w:val="en-US" w:eastAsia="zh-CN"/>
              </w:rPr>
              <w:t>者</w:t>
            </w:r>
          </w:p>
          <w:p>
            <w:pPr>
              <w:pStyle w:val="5"/>
              <w:shd w:val="clear" w:color="auto" w:fill="FFFFFF"/>
              <w:spacing w:before="0" w:beforeAutospacing="0" w:after="0" w:afterAutospacing="0" w:line="240" w:lineRule="exact"/>
              <w:rPr>
                <w:rFonts w:hint="eastAsia"/>
                <w:color w:val="000000"/>
                <w:szCs w:val="24"/>
              </w:rPr>
            </w:pPr>
            <w:r>
              <w:rPr>
                <w:rFonts w:hint="eastAsia" w:ascii="方正仿宋_GB2312" w:hAnsi="方正仿宋_GB2312" w:eastAsia="方正仿宋_GB2312" w:cs="方正仿宋_GB2312"/>
                <w:color w:val="000000"/>
                <w:sz w:val="18"/>
                <w:szCs w:val="18"/>
              </w:rPr>
              <w:t>提供虚假情况。</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val="en-US" w:eastAsia="zh-CN"/>
              </w:rPr>
              <w:t>.立</w:t>
            </w:r>
            <w:r>
              <w:rPr>
                <w:rFonts w:hint="eastAsia" w:ascii="仿宋_GB2312" w:eastAsia="仿宋_GB2312" w:cs="仿宋_GB2312"/>
                <w:i w:val="0"/>
                <w:color w:val="000000"/>
                <w:sz w:val="18"/>
                <w:szCs w:val="18"/>
                <w:u w:val="none"/>
              </w:rPr>
              <w:t>案责任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发现定点医药机构违反内部管理规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定以及未按规定向医疗保障部门传送数据、信息或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不</w:t>
            </w:r>
            <w:r>
              <w:rPr>
                <w:rFonts w:hint="eastAsia" w:ascii="仿宋_GB2312" w:eastAsia="仿宋_GB2312" w:cs="仿宋_GB2312"/>
                <w:i w:val="0"/>
                <w:color w:val="000000"/>
                <w:sz w:val="18"/>
                <w:szCs w:val="18"/>
                <w:u w:val="none"/>
                <w:lang w:val="en-US" w:eastAsia="zh-CN"/>
              </w:rPr>
              <w:t>配</w:t>
            </w:r>
            <w:r>
              <w:rPr>
                <w:rFonts w:hint="eastAsia" w:ascii="仿宋_GB2312" w:eastAsia="仿宋_GB2312" w:cs="仿宋_GB2312"/>
                <w:i w:val="0"/>
                <w:color w:val="000000"/>
                <w:sz w:val="18"/>
                <w:szCs w:val="18"/>
                <w:u w:val="none"/>
              </w:rPr>
              <w:t>合监督检查等违法行为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立案</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医疗保障部门对立案的案件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专人负</w:t>
            </w:r>
            <w:r>
              <w:rPr>
                <w:rFonts w:hint="eastAsia" w:ascii="仿宋_GB2312" w:eastAsia="仿宋_GB2312" w:cs="仿宋_GB2312"/>
                <w:i w:val="0"/>
                <w:color w:val="000000"/>
                <w:sz w:val="18"/>
                <w:szCs w:val="18"/>
                <w:u w:val="none"/>
                <w:lang w:val="en-US" w:eastAsia="zh-CN"/>
              </w:rPr>
              <w:t>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及时组织调查取证</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害关系的应当回避。</w:t>
            </w:r>
            <w:r>
              <w:rPr>
                <w:rFonts w:hint="eastAsia" w:ascii="仿宋_GB2312" w:eastAsia="仿宋_GB2312" w:cs="仿宋_GB2312"/>
                <w:i w:val="0"/>
                <w:color w:val="000000"/>
                <w:sz w:val="18"/>
                <w:szCs w:val="18"/>
                <w:u w:val="none"/>
                <w:lang w:val="en-US" w:eastAsia="zh-CN"/>
              </w:rPr>
              <w:t>执</w:t>
            </w:r>
            <w:r>
              <w:rPr>
                <w:rFonts w:hint="eastAsia" w:ascii="仿宋_GB2312" w:eastAsia="仿宋_GB2312" w:cs="仿宋_GB2312"/>
                <w:i w:val="0"/>
                <w:color w:val="000000"/>
                <w:sz w:val="18"/>
                <w:szCs w:val="18"/>
                <w:u w:val="none"/>
              </w:rPr>
              <w:t>法人员不得少于两人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时应出示执法证件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允许</w:t>
            </w:r>
            <w:r>
              <w:rPr>
                <w:rFonts w:hint="eastAsia" w:ascii="仿宋_GB2312" w:eastAsia="仿宋_GB2312" w:cs="仿宋_GB2312"/>
                <w:i w:val="0"/>
                <w:color w:val="000000"/>
                <w:sz w:val="18"/>
                <w:szCs w:val="18"/>
                <w:u w:val="none"/>
              </w:rPr>
              <w:t>当事人辩解陈述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3</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审理案件调</w:t>
            </w:r>
            <w:r>
              <w:rPr>
                <w:rFonts w:hint="eastAsia" w:ascii="仿宋_GB2312" w:eastAsia="仿宋_GB2312" w:cs="仿宋_GB2312"/>
                <w:i w:val="0"/>
                <w:color w:val="000000"/>
                <w:sz w:val="18"/>
                <w:szCs w:val="18"/>
                <w:u w:val="none"/>
                <w:lang w:val="en-US" w:eastAsia="zh-CN"/>
              </w:rPr>
              <w:t>查</w:t>
            </w:r>
            <w:r>
              <w:rPr>
                <w:rFonts w:hint="eastAsia" w:ascii="仿宋_GB2312" w:eastAsia="仿宋_GB2312" w:cs="仿宋_GB2312"/>
                <w:i w:val="0"/>
                <w:color w:val="000000"/>
                <w:sz w:val="18"/>
                <w:szCs w:val="18"/>
                <w:u w:val="none"/>
              </w:rPr>
              <w:t>报告</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对案件违法</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、证据、调查取证程序、法律适用、处罚种类和</w:t>
            </w:r>
            <w:r>
              <w:rPr>
                <w:rFonts w:hint="eastAsia" w:ascii="仿宋_GB2312" w:eastAsia="仿宋_GB2312" w:cs="仿宋_GB2312"/>
                <w:i w:val="0"/>
                <w:color w:val="000000"/>
                <w:sz w:val="18"/>
                <w:szCs w:val="18"/>
                <w:u w:val="none"/>
                <w:lang w:val="en-US" w:eastAsia="zh-CN"/>
              </w:rPr>
              <w:t>幅</w:t>
            </w:r>
            <w:r>
              <w:rPr>
                <w:rFonts w:hint="eastAsia" w:ascii="仿宋_GB2312" w:eastAsia="仿宋_GB2312" w:cs="仿宋_GB2312"/>
                <w:i w:val="0"/>
                <w:color w:val="000000"/>
                <w:sz w:val="18"/>
                <w:szCs w:val="18"/>
                <w:u w:val="none"/>
              </w:rPr>
              <w:t>度、当事人陈述和申辩理由等方面进行审查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出处理意见(主要证据不足时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以适当方式补充调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查</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告知责任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作出行政处罚决定前</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政处罚告知》送达当事人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告</w:t>
            </w:r>
            <w:r>
              <w:rPr>
                <w:rFonts w:hint="eastAsia" w:ascii="仿宋_GB2312" w:eastAsia="仿宋_GB2312" w:cs="仿宋_GB2312"/>
                <w:i w:val="0"/>
                <w:color w:val="000000"/>
                <w:sz w:val="18"/>
                <w:szCs w:val="18"/>
                <w:u w:val="none"/>
              </w:rPr>
              <w:t>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有的陈述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申辩等权利</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符合听证规定的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送达《行政处罚知书》</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决定责任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载</w:t>
            </w:r>
            <w:r>
              <w:rPr>
                <w:rFonts w:hint="eastAsia" w:ascii="仿宋_GB2312" w:eastAsia="仿宋_GB2312" w:cs="仿宋_GB2312"/>
                <w:i w:val="0"/>
                <w:color w:val="000000"/>
                <w:sz w:val="18"/>
                <w:szCs w:val="18"/>
                <w:u w:val="none"/>
              </w:rPr>
              <w:t>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罚种类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依据、履行方</w:t>
            </w:r>
            <w:r>
              <w:rPr>
                <w:rFonts w:hint="eastAsia" w:ascii="仿宋_GB2312" w:eastAsia="仿宋_GB2312" w:cs="仿宋_GB2312"/>
                <w:i w:val="0"/>
                <w:color w:val="000000"/>
                <w:sz w:val="18"/>
                <w:szCs w:val="18"/>
                <w:u w:val="none"/>
                <w:lang w:val="en-US" w:eastAsia="zh-CN"/>
              </w:rPr>
              <w:t>式</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期限、救济途径等内容</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送达责任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7</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执行责任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依照生效的行政处罚决定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其他法律法规规章文件规定应履行的责任</w:t>
            </w:r>
            <w:r>
              <w:rPr>
                <w:rFonts w:hint="eastAsia" w:ascii="仿宋_GB2312" w:eastAsia="仿宋_GB2312" w:cs="仿宋_GB2312"/>
                <w:i w:val="0"/>
                <w:color w:val="000000"/>
                <w:sz w:val="18"/>
                <w:szCs w:val="18"/>
                <w:u w:val="none"/>
                <w:lang w:eastAsia="zh-CN"/>
              </w:rPr>
              <w:t>。</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因不履行或不正确履行行政职责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形的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责任</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没有法律和</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依据实施行政处罚的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行政处罚显失公允的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lang w:val="en-US" w:eastAsia="zh-CN"/>
              </w:rPr>
              <w:t>3.执法</w:t>
            </w:r>
            <w:r>
              <w:rPr>
                <w:rFonts w:hint="eastAsia" w:ascii="仿宋_GB2312" w:eastAsia="仿宋_GB2312" w:cs="仿宋_GB2312"/>
                <w:i w:val="0"/>
                <w:color w:val="000000"/>
                <w:sz w:val="18"/>
                <w:szCs w:val="18"/>
                <w:u w:val="none"/>
              </w:rPr>
              <w:t>人员玩忽职守</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处罚的违法行为不予制止、处罚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保障基金损失的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不具备行政执法资格实施行政处罚的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应当依法移送追究刑事责任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移送有</w:t>
            </w:r>
            <w:r>
              <w:rPr>
                <w:rFonts w:hint="eastAsia" w:ascii="仿宋_GB2312" w:eastAsia="仿宋_GB2312" w:cs="仿宋_GB2312"/>
                <w:i w:val="0"/>
                <w:color w:val="000000"/>
                <w:sz w:val="18"/>
                <w:szCs w:val="18"/>
                <w:u w:val="none"/>
                <w:lang w:val="en-US" w:eastAsia="zh-CN"/>
              </w:rPr>
              <w:t>权</w:t>
            </w:r>
            <w:r>
              <w:rPr>
                <w:rFonts w:hint="eastAsia" w:ascii="仿宋_GB2312" w:eastAsia="仿宋_GB2312" w:cs="仿宋_GB2312"/>
                <w:i w:val="0"/>
                <w:color w:val="000000"/>
                <w:sz w:val="18"/>
                <w:szCs w:val="18"/>
                <w:u w:val="none"/>
              </w:rPr>
              <w:t>机关的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擅</w:t>
            </w:r>
            <w:r>
              <w:rPr>
                <w:rFonts w:hint="eastAsia" w:ascii="仿宋_GB2312" w:eastAsia="仿宋_GB2312" w:cs="仿宋_GB2312"/>
                <w:i w:val="0"/>
                <w:color w:val="000000"/>
                <w:sz w:val="18"/>
                <w:szCs w:val="18"/>
                <w:u w:val="none"/>
              </w:rPr>
              <w:t>自改变行政处罚种类、幅度的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7违反法定行政处罚程序的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9在行政处罚过程中发生腐败行为的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10</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为</w:t>
            </w:r>
            <w:r>
              <w:rPr>
                <w:rFonts w:hint="eastAsia" w:ascii="仿宋_GB2312" w:eastAsia="仿宋_GB2312" w:cs="仿宋_GB2312"/>
                <w:i w:val="0"/>
                <w:color w:val="000000"/>
                <w:sz w:val="18"/>
                <w:szCs w:val="18"/>
                <w:u w:val="none"/>
                <w:lang w:eastAsia="zh-CN"/>
              </w:rPr>
              <w:t>。</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对医疗保险经办机构以及医疗机构、药品经营单位等医疗保险服务机构以欺诈、伪造证明材料或者其他手段骗取医疗保险、生育保险基金支出的处罚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5"/>
                <w:szCs w:val="15"/>
                <w:u w:val="none"/>
                <w:lang w:val="en-US" w:eastAsia="zh-CN"/>
              </w:rPr>
            </w:pPr>
            <w:r>
              <w:rPr>
                <w:rFonts w:hint="eastAsia" w:ascii="仿宋_GB2312" w:eastAsia="仿宋_GB2312" w:cs="仿宋_GB2312"/>
                <w:i w:val="0"/>
                <w:color w:val="000000"/>
                <w:kern w:val="0"/>
                <w:sz w:val="15"/>
                <w:szCs w:val="15"/>
                <w:u w:val="none"/>
                <w:lang w:val="en-US" w:eastAsia="zh-CN"/>
              </w:rPr>
              <w:t>1.《中华人民共和国社会保险法》第八十七条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5"/>
                <w:szCs w:val="15"/>
              </w:rPr>
            </w:pPr>
            <w:r>
              <w:rPr>
                <w:rFonts w:hint="eastAsia" w:ascii="仿宋_GB2312" w:eastAsia="仿宋_GB2312" w:cs="仿宋_GB2312"/>
                <w:i w:val="0"/>
                <w:color w:val="000000"/>
                <w:kern w:val="0"/>
                <w:sz w:val="15"/>
                <w:szCs w:val="15"/>
                <w:u w:val="none"/>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hint="eastAsia" w:ascii="仿宋_GB2312" w:eastAsia="仿宋_GB2312" w:cs="仿宋_GB2312"/>
                <w:color w:val="000000"/>
                <w:kern w:val="0"/>
                <w:sz w:val="15"/>
                <w:szCs w:val="15"/>
              </w:rPr>
              <w:t>行政处罚。</w:t>
            </w:r>
          </w:p>
          <w:p>
            <w:pPr>
              <w:pStyle w:val="5"/>
              <w:shd w:val="clear" w:color="auto" w:fill="FFFFFF"/>
              <w:spacing w:before="0" w:beforeAutospacing="0" w:after="0" w:afterAutospacing="0" w:line="240" w:lineRule="exact"/>
              <w:rPr>
                <w:rFonts w:hint="eastAsia"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pStyle w:val="5"/>
              <w:shd w:val="clear" w:color="auto" w:fill="FFFFFF"/>
              <w:spacing w:before="0" w:beforeAutospacing="0" w:after="0" w:afterAutospacing="0" w:line="240" w:lineRule="exact"/>
              <w:ind w:left="0" w:leftChars="0" w:right="0" w:rightChars="0" w:firstLine="0" w:firstLineChars="0"/>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5"/>
                <w:szCs w:val="15"/>
                <w:u w:val="none"/>
                <w:lang w:val="en-US" w:eastAsia="zh-CN"/>
              </w:rPr>
              <w:t>4</w:t>
            </w:r>
            <w:r>
              <w:rPr>
                <w:rFonts w:hint="eastAsia" w:ascii="仿宋_GB2312" w:eastAsia="仿宋_GB2312" w:cs="仿宋_GB2312"/>
                <w:i w:val="0"/>
                <w:color w:val="000000"/>
                <w:kern w:val="0"/>
                <w:sz w:val="15"/>
                <w:szCs w:val="15"/>
                <w:u w:val="none"/>
                <w:lang w:val="en-US" w:eastAsia="zh-CN"/>
              </w:rPr>
              <w:t>.《实施〈中华人民共和国社会保险法〉若干规定》（中华人民共和国人力资源和社会保障部令第13号）第二十五条 医疗机构、药品经营单位等社会保险服务机构以欺诈、伪造证明材料或者其他手段骗取社会保险基金支出的，由社会保险行政部门责令退回骗取的社会保险金，处骗取金额2倍以上5倍以下的罚款。</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1.立案责任：发现医疗保险经办机构以及医疗机构、药品经营单位等医疗保险服务机构以欺诈、伪造证明材料或者其他手段骗取医疗保险、生育保险基金支出的违法行为，予以审查，决定是否立案。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对以欺诈、伪造证明材料或者其他手段骗取医疗保险、生育保险待遇的处罚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5"/>
                <w:szCs w:val="15"/>
                <w:lang w:val="en-US" w:eastAsia="zh-CN"/>
              </w:rPr>
            </w:pPr>
            <w:r>
              <w:rPr>
                <w:rFonts w:hint="eastAsia" w:ascii="仿宋_GB2312" w:eastAsia="仿宋_GB2312" w:cs="仿宋_GB2312"/>
                <w:i w:val="0"/>
                <w:color w:val="000000"/>
                <w:kern w:val="0"/>
                <w:sz w:val="18"/>
                <w:szCs w:val="18"/>
                <w:u w:val="none"/>
                <w:lang w:val="en-US" w:eastAsia="zh-CN"/>
              </w:rPr>
              <w:t>1</w:t>
            </w:r>
            <w:r>
              <w:rPr>
                <w:rFonts w:hint="eastAsia" w:ascii="仿宋_GB2312" w:eastAsia="仿宋_GB2312" w:cs="仿宋_GB2312"/>
                <w:color w:val="000000"/>
                <w:sz w:val="15"/>
                <w:szCs w:val="15"/>
                <w:lang w:val="en-US" w:eastAsia="zh-CN"/>
              </w:rPr>
              <w:t>.《中华人民共和国社会保险法》第八十八条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color w:val="000000"/>
                <w:sz w:val="15"/>
                <w:szCs w:val="15"/>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r>
              <w:rPr>
                <w:rFonts w:hint="eastAsia" w:ascii="仿宋_GB2312" w:eastAsia="仿宋_GB2312" w:cs="仿宋_GB2312"/>
                <w:i w:val="0"/>
                <w:color w:val="000000"/>
                <w:kern w:val="0"/>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lang w:eastAsia="zh-CN"/>
              </w:rPr>
            </w:pPr>
            <w:r>
              <w:rPr>
                <w:rFonts w:ascii="仿宋_GB2312" w:eastAsia="仿宋_GB2312" w:cs="仿宋_GB2312"/>
                <w:color w:val="000000"/>
                <w:kern w:val="0"/>
                <w:sz w:val="18"/>
                <w:szCs w:val="18"/>
              </w:rPr>
              <w:t>4.</w:t>
            </w:r>
            <w:r>
              <w:rPr>
                <w:rFonts w:hint="eastAsia" w:ascii="仿宋_GB2312" w:eastAsia="仿宋_GB2312" w:cs="仿宋_GB2312"/>
                <w:color w:val="000000"/>
                <w:sz w:val="15"/>
                <w:szCs w:val="15"/>
              </w:rPr>
              <w:t>《医疗保障基金使用监督管理条例》第四十一条 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hint="eastAsia" w:ascii="仿宋_GB2312" w:eastAsia="仿宋_GB2312" w:cs="仿宋_GB2312"/>
                <w:color w:val="000000"/>
                <w:sz w:val="15"/>
                <w:szCs w:val="15"/>
                <w:lang w:eastAsia="zh-CN"/>
              </w:rPr>
              <w:t>。</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1.立案责任：发现以欺诈、伪造证明材料或者其他手段骗取医疗保险、生育保险待遇的违法行为，予以审查，决定是否立案。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对采取虚报、隐瞒、伪造等手段，骗取医疗救助基金的处罚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《社会救助暂行办法》（中华人民共和国国务院令第649号）第六十八条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i w:val="0"/>
                <w:color w:val="000000"/>
                <w:kern w:val="0"/>
                <w:sz w:val="18"/>
                <w:szCs w:val="18"/>
                <w:u w:val="none"/>
                <w:lang w:val="en-US" w:eastAsia="zh-CN"/>
              </w:rPr>
              <w:t>.《河北省社会救助实施办法》(河北省人民政府令〔2015〕第7号)第六十三条 采取虚报、隐瞒、伪造等手段，骗取社会救助资金、物资或者服务的，由有关部门决定停止社会救助，责令退回非法获取的救助资金、物资，可以处非法获得的救助款额或者物资价值1倍以上3倍以下的罚款；构成违反治安管理行为的，依法给予治安管理处罚。</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1.立案责任：发现采取虚报、隐瞒、伪造等手段，骗取医疗救助基金</w:t>
            </w:r>
            <w:bookmarkStart w:id="0" w:name="_GoBack"/>
            <w:bookmarkEnd w:id="0"/>
            <w:r>
              <w:rPr>
                <w:rFonts w:hint="eastAsia" w:ascii="仿宋_GB2312" w:eastAsia="仿宋_GB2312" w:cs="仿宋_GB2312"/>
                <w:i w:val="0"/>
                <w:color w:val="000000"/>
                <w:kern w:val="0"/>
                <w:sz w:val="18"/>
                <w:szCs w:val="18"/>
                <w:u w:val="none"/>
                <w:lang w:val="en-US" w:eastAsia="zh-CN"/>
              </w:rPr>
              <w:t>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对以违反医药价格管理政策等为手段，骗取医保基金支出行为的处罚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rPr>
              <w:t>2.《医疗保障基金使用监督管理条例》第四十条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1.立案责任：发现以违反医药价格管理政策等为手段，骗取医保基金支出的违法行为，予以审查，决定是否立案。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对参加药品采购投标的投标人的违法行为进行监督管理</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1.立案责任：发现参加药品采购投标的投标人以低于成本的报价竞标，或者以欺诈、串通投标、滥用市场支配地位等方式竞标的违法行为，予以审查，决定是否立案。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对被转移、隐匿或者灭失的医疗保障基金收支、管理相关的资料予以封存</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hint="eastAsia" w:ascii="仿宋_GB2312" w:eastAsia="仿宋_GB2312" w:cs="仿宋_GB2312"/>
                <w:color w:val="000000"/>
                <w:kern w:val="0"/>
                <w:sz w:val="18"/>
                <w:szCs w:val="18"/>
              </w:rPr>
              <w:t>2.《医疗保障基金使用监督管理条例》第二十七条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8"/>
                <w:szCs w:val="18"/>
              </w:rPr>
              <w:t>医疗保障行政部门实施监督检查，可以采取下列措施：（一）进入现场检查；（二）询问有关人员；（三）要求被检查对象提供与检查事项相关的文件资料，并作出解释和说明；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exact"/>
              <w:ind w:right="0"/>
              <w:rPr>
                <w:rFonts w:hint="eastAsia" w:ascii="仿宋_GB2312" w:eastAsia="仿宋_GB2312" w:cs="仿宋_GB2312"/>
                <w:color w:val="000000"/>
                <w:sz w:val="18"/>
                <w:szCs w:val="18"/>
              </w:rPr>
            </w:pPr>
            <w:r>
              <w:rPr>
                <w:rFonts w:hint="eastAsia" w:ascii="仿宋_GB2312" w:eastAsia="仿宋_GB2312" w:cs="仿宋_GB2312"/>
                <w:color w:val="000000"/>
                <w:sz w:val="18"/>
                <w:szCs w:val="18"/>
              </w:rPr>
              <w:t>（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2.执行责任：由医疗保障行政主管部门实施封存，并出具封存决定书，决定书应当载明下列事项：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（一）当事人的姓名或者名称、地址；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（二）封存的理由、依据和期限；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（三）封存场所、设施或者财物的名称、数量等；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（四）申请行政复议或者提起行政诉讼的途径和期限；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（五）医疗保障行政部门的名称、印章和日期。封存清单一式两份，由当事人和医疗保障行政部门分别保存。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1.对不符合条件的实施行政强制措施的；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2.因违法实施行政强制措施，给行政相对人造成损失的；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3.未依法实施封存造成社会保险基金收支、管理和投资运营相关的资料灭失；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5.在实施强制执行措施中玩忽职守、滥用职权的；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对用人单位和个人遵守医疗保险法律、法规情况进行监督检查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0"/>
                <w:rFonts w:hint="eastAsia" w:ascii="仿宋_GB2312" w:eastAsia="仿宋_GB2312" w:cs="仿宋_GB2312"/>
                <w:color w:val="000000"/>
                <w:sz w:val="18"/>
                <w:szCs w:val="18"/>
                <w:lang w:val="en-US" w:eastAsia="zh-CN"/>
              </w:rPr>
            </w:pPr>
            <w:r>
              <w:rPr>
                <w:rStyle w:val="10"/>
                <w:rFonts w:hint="eastAsia" w:ascii="仿宋_GB2312" w:eastAsia="仿宋_GB2312" w:cs="仿宋_GB2312"/>
                <w:color w:val="000000"/>
                <w:sz w:val="18"/>
                <w:szCs w:val="18"/>
                <w:lang w:val="en-US" w:eastAsia="zh-CN"/>
              </w:rPr>
              <w:t>1.《中华人民共和国社会保险法》第七十七条 县级以上人民政府社会保险行政部门应当加强对用人单位和个人遵守社会保险法律、法规情况的监督检查。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0"/>
                <w:rFonts w:ascii="仿宋_GB2312" w:eastAsia="仿宋_GB2312" w:cs="仿宋_GB2312"/>
                <w:color w:val="000000"/>
                <w:sz w:val="18"/>
                <w:szCs w:val="18"/>
                <w:lang w:val="en-US" w:eastAsia="zh-CN"/>
              </w:rPr>
            </w:pPr>
            <w:r>
              <w:rPr>
                <w:rStyle w:val="10"/>
                <w:rFonts w:hint="eastAsia" w:ascii="仿宋_GB2312" w:eastAsia="仿宋_GB2312" w:cs="仿宋_GB2312"/>
                <w:color w:val="000000"/>
                <w:sz w:val="18"/>
                <w:szCs w:val="18"/>
                <w:lang w:val="en-US" w:eastAsia="zh-CN"/>
              </w:rPr>
              <w:t>社会保险行政部门实施监督检查时，被检查的用人单位和个人应当如实提供与社会保险有关的资料，不得拒绝检查或者谎报、瞒报。</w:t>
            </w:r>
          </w:p>
          <w:p>
            <w:pPr>
              <w:pStyle w:val="5"/>
              <w:shd w:val="clear" w:color="auto" w:fill="FFFFFF"/>
              <w:spacing w:before="0" w:beforeAutospacing="0" w:after="0" w:afterAutospacing="0" w:line="240" w:lineRule="exact"/>
              <w:rPr>
                <w:rStyle w:val="10"/>
                <w:color w:val="000000"/>
                <w:kern w:val="2"/>
                <w:sz w:val="18"/>
                <w:szCs w:val="18"/>
              </w:rPr>
            </w:pPr>
            <w:r>
              <w:rPr>
                <w:rFonts w:ascii="仿宋_GB2312" w:eastAsia="仿宋_GB2312" w:cs="仿宋_GB2312"/>
                <w:color w:val="000000"/>
                <w:kern w:val="0"/>
                <w:sz w:val="18"/>
                <w:szCs w:val="18"/>
              </w:rPr>
              <w:t>2.</w:t>
            </w:r>
            <w:r>
              <w:rPr>
                <w:rFonts w:hint="eastAsia" w:ascii="仿宋_GB2312" w:eastAsia="仿宋_GB2312" w:cs="仿宋_GB2312"/>
                <w:color w:val="000000"/>
                <w:kern w:val="0"/>
                <w:sz w:val="18"/>
                <w:szCs w:val="18"/>
              </w:rPr>
              <w:t>《医疗保障基金使用监督管理条例》</w:t>
            </w:r>
            <w:r>
              <w:rPr>
                <w:rFonts w:ascii="仿宋_GB2312" w:eastAsia="仿宋_GB2312" w:cs="仿宋_GB2312"/>
                <w:color w:val="000000"/>
                <w:kern w:val="0"/>
                <w:sz w:val="18"/>
                <w:szCs w:val="18"/>
              </w:rPr>
              <w:t>第六条</w:t>
            </w:r>
            <w:r>
              <w:rPr>
                <w:rFonts w:hint="eastAsia" w:ascii="宋体" w:eastAsia="宋体"/>
                <w:b w:val="0"/>
                <w:bCs w:val="0"/>
                <w:i w:val="0"/>
                <w:iCs w:val="0"/>
                <w:caps w:val="0"/>
                <w:smallCaps w:val="0"/>
                <w:vanish w:val="0"/>
                <w:color w:val="000000"/>
                <w:spacing w:val="0"/>
                <w:sz w:val="24"/>
                <w:szCs w:val="24"/>
              </w:rPr>
              <w:t>　</w:t>
            </w:r>
            <w:r>
              <w:rPr>
                <w:rStyle w:val="10"/>
                <w:color w:val="000000"/>
                <w:kern w:val="2"/>
                <w:sz w:val="18"/>
                <w:szCs w:val="18"/>
              </w:rPr>
              <w:t>国务院医疗保障行政部门主管全国的医疗保障基金使用监督管理工作。国务院其他有关部门在各自职责范围内负责有关的医疗保障基金使用监督管理工作。县级以上地方人民政府医疗保障行政部门负责本行政区域的医疗保障基金使用监督管理工作。县级以上地方人民政府其他有关部门在各自职责范围内负责有关的医疗保障基金使用监督管理工作。</w:t>
            </w:r>
          </w:p>
          <w:p>
            <w:pPr>
              <w:pStyle w:val="5"/>
              <w:shd w:val="clear" w:color="auto" w:fill="FFFFFF"/>
              <w:spacing w:before="0" w:beforeAutospacing="0" w:after="0" w:afterAutospacing="0" w:line="240" w:lineRule="exact"/>
              <w:rPr>
                <w:rStyle w:val="10"/>
                <w:rFonts w:hint="eastAsia" w:ascii="仿宋_GB2312" w:eastAsia="仿宋_GB2312" w:cs="仿宋_GB2312"/>
                <w:color w:val="000000"/>
                <w:sz w:val="18"/>
                <w:szCs w:val="18"/>
                <w:lang w:val="en-US" w:eastAsia="zh-CN"/>
              </w:rPr>
            </w:pPr>
            <w:r>
              <w:rPr>
                <w:rStyle w:val="10"/>
                <w:rFonts w:ascii="仿宋_GB2312" w:eastAsia="仿宋_GB2312" w:cs="仿宋_GB2312"/>
                <w:color w:val="000000"/>
                <w:sz w:val="18"/>
                <w:szCs w:val="18"/>
                <w:lang w:val="en-US" w:eastAsia="zh-CN"/>
              </w:rPr>
              <w:t>3</w:t>
            </w:r>
            <w:r>
              <w:rPr>
                <w:rStyle w:val="10"/>
                <w:rFonts w:hint="eastAsia" w:ascii="仿宋_GB2312" w:eastAsia="仿宋_GB2312" w:cs="仿宋_GB2312"/>
                <w:color w:val="000000"/>
                <w:sz w:val="18"/>
                <w:szCs w:val="18"/>
                <w:lang w:val="en-US" w:eastAsia="zh-CN"/>
              </w:rPr>
              <w:t>.《河北省基本医疗保险服务监督管理办法》（河北省人民政府令（2015）第12号）第十六条 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pPr>
              <w:pStyle w:val="5"/>
              <w:shd w:val="clear" w:color="auto" w:fill="FFFFFF"/>
              <w:spacing w:before="0" w:beforeAutospacing="0" w:after="0" w:afterAutospacing="0" w:line="240" w:lineRule="exact"/>
              <w:rPr>
                <w:rStyle w:val="10"/>
                <w:rFonts w:hint="eastAsia"/>
                <w:color w:val="000000"/>
                <w:kern w:val="2"/>
                <w:sz w:val="18"/>
                <w:szCs w:val="18"/>
              </w:rPr>
            </w:pPr>
            <w:r>
              <w:rPr>
                <w:rStyle w:val="10"/>
                <w:rFonts w:ascii="仿宋_GB2312" w:eastAsia="仿宋_GB2312" w:cs="仿宋_GB2312"/>
                <w:color w:val="000000"/>
                <w:sz w:val="18"/>
                <w:szCs w:val="18"/>
                <w:lang w:val="en-US" w:eastAsia="zh-CN"/>
              </w:rPr>
              <w:t>4.</w:t>
            </w:r>
            <w:r>
              <w:rPr>
                <w:rStyle w:val="10"/>
                <w:rFonts w:hint="eastAsia" w:ascii="仿宋_GB2312" w:eastAsia="仿宋_GB2312" w:cs="仿宋_GB2312"/>
                <w:color w:val="000000"/>
                <w:sz w:val="18"/>
                <w:szCs w:val="18"/>
                <w:lang w:val="en-US" w:eastAsia="zh-CN"/>
              </w:rPr>
              <w:t>《河北省社会保险基金监督办法》（河北省人民政府令〔2018</w:t>
            </w:r>
            <w:r>
              <w:rPr>
                <w:rStyle w:val="11"/>
                <w:rFonts w:hint="eastAsia" w:ascii="仿宋_GB2312" w:eastAsia="仿宋_GB2312" w:cs="仿宋_GB2312"/>
                <w:color w:val="000000"/>
                <w:sz w:val="18"/>
                <w:szCs w:val="18"/>
                <w:lang w:val="en-US" w:eastAsia="zh-CN"/>
              </w:rPr>
              <w:t>﹞</w:t>
            </w:r>
            <w:r>
              <w:rPr>
                <w:rStyle w:val="10"/>
                <w:rFonts w:hint="eastAsia" w:ascii="仿宋_GB2312" w:eastAsia="仿宋_GB2312" w:cs="仿宋_GB2312"/>
                <w:color w:val="000000"/>
                <w:sz w:val="18"/>
                <w:szCs w:val="18"/>
                <w:lang w:val="en-US" w:eastAsia="zh-CN"/>
              </w:rPr>
              <w:t>第1号）第十九条：社会保险行政部门履行下列监督职责：（一）对单位、个人执行社会保险基金法律、法规、规章和政策情况进行监督检查；（二）对社会保险基金收支、管理、服务和投资运营等情况进行监督检查；（三）组织开展社会保险基金安全评估，督促有关部门和机构消除社会保险基金安全隐患。</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医疗保险稽核</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1.《中华人民共和国社会保险法》第三十一条 社会保险经办机构根据管理服务的需要，可以与医疗机构、药品经营单位签订服务协议，规范医疗服务行为。医疗机构应当为参保人员提供合理、必要的医疗服务。</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kern w:val="0"/>
                <w:sz w:val="18"/>
                <w:szCs w:val="18"/>
              </w:rPr>
              <w:t>第十一条</w:t>
            </w:r>
            <w:r>
              <w:rPr>
                <w:rFonts w:hint="eastAsia" w:ascii="仿宋_GB2312" w:eastAsia="仿宋_GB2312" w:cs="仿宋_GB2312"/>
                <w:color w:val="000000"/>
                <w:kern w:val="0"/>
                <w:sz w:val="18"/>
                <w:szCs w:val="18"/>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w:t>
            </w:r>
            <w:r>
              <w:rPr>
                <w:rFonts w:hint="eastAsia" w:ascii="仿宋_GB2312" w:eastAsia="仿宋_GB2312" w:cs="仿宋_GB2312"/>
                <w:color w:val="000000"/>
                <w:sz w:val="18"/>
                <w:szCs w:val="18"/>
              </w:rPr>
              <w:t>行为，明确违反服务协议的行为及其责任。医疗保障经办机构应当及时向社会公布签订服务协议的定点医药机构名单。医疗保障行政部门应当加强对服务协议订立、履行等情况的监督。</w:t>
            </w:r>
          </w:p>
          <w:p>
            <w:pPr>
              <w:pStyle w:val="5"/>
              <w:shd w:val="clear" w:color="auto" w:fill="FFFFFF"/>
              <w:spacing w:before="0" w:beforeAutospacing="0" w:after="0" w:afterAutospacing="0" w:line="240" w:lineRule="exact"/>
              <w:rPr>
                <w:rFonts w:hint="eastAsia"/>
                <w:color w:val="000000"/>
                <w:szCs w:val="24"/>
              </w:rPr>
            </w:pPr>
            <w:r>
              <w:rPr>
                <w:rFonts w:ascii="仿宋_GB2312" w:eastAsia="仿宋_GB2312" w:cs="仿宋_GB2312"/>
                <w:i w:val="0"/>
                <w:color w:val="000000"/>
                <w:kern w:val="0"/>
                <w:sz w:val="18"/>
                <w:szCs w:val="18"/>
                <w:u w:val="none"/>
                <w:lang w:val="en-US" w:eastAsia="zh-CN"/>
              </w:rPr>
              <w:t>3</w:t>
            </w:r>
            <w:r>
              <w:rPr>
                <w:rFonts w:hint="eastAsia" w:ascii="仿宋_GB2312" w:eastAsia="仿宋_GB2312" w:cs="仿宋_GB2312"/>
                <w:i w:val="0"/>
                <w:color w:val="000000"/>
                <w:kern w:val="0"/>
                <w:sz w:val="18"/>
                <w:szCs w:val="18"/>
                <w:u w:val="none"/>
                <w:lang w:val="en-US" w:eastAsia="zh-CN"/>
              </w:rPr>
              <w:t>.《社会保险稽核办法》（劳动部令第16号）第二条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1.检查责任：对医疗保险费开展稽核工作；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4.事后管理责任：对稽核发现问题的整改情况组织进行核查；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1.未依法履行基本医疗保险管理服务职责的；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2.克扣或者拒不按时支付基本医疗保险基金的；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3.丢失或者篡改基本医疗保险待遇记录的；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4.骗取或者协助他人骗取基本医疗保险基金支出的；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5.在稽核工作中滥用职权、徇私舞弊、玩忽职守的；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对公立医疗机构药品和高值医用耗材集中采购行为合规性的监督检查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《中共河北省委办公厅河北省人民政府办公厅关于印发&lt;河北省医疗保障局职能配置内设机构和人员编制规定&gt;的通知》（冀办字〔2018〕83号）</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对医疗救助的监督检查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《社会救助暂行办法》（中华人民共和国国务院令第649号）第五十七条 县级以上人民政府及其社会救助管理部门应当加强对社会救助工作的监督检查，完善相关监督管理制度。</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1.检查责任：对医疗救助的监督检查；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1.不对本辖区内医疗救助进行监督管理；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对药品、医用耗材价格进行监测和成本调查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2.《中华人民共和国药品管理法》第八十六条 药品上市许可持有人、药品生产企业、药品经营企业和医疗机构应当依法向药品价格主管部门提供其药品的实际购销价格和购销数量的资料。</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《中华人民共和国药品管理法》第八十六条 药品上市许可持有人、药品生产企业、药品经营企业和医疗机构应当依法向药品价格主管部门提供其药品的实际购销价格和购销数量等资料。</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对纳入基本医疗保险基金支付范围的医疗服务行为和医疗费用进行监督管理</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sz w:val="18"/>
                <w:szCs w:val="18"/>
              </w:rPr>
              <w:t>第二十二条</w:t>
            </w:r>
            <w:r>
              <w:rPr>
                <w:rFonts w:hint="eastAsia" w:ascii="仿宋_GB2312" w:eastAsia="仿宋_GB2312" w:cs="仿宋_GB2312"/>
                <w:color w:val="000000"/>
                <w:sz w:val="18"/>
                <w:szCs w:val="18"/>
              </w:rPr>
              <w:t>　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行政奖励</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对举报人举报欺诈骗取医保基金行为进行奖励</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ascii="仿宋_GB2312" w:eastAsia="仿宋_GB2312" w:cs="仿宋_GB2312"/>
                <w:color w:val="000000"/>
                <w:kern w:val="0"/>
                <w:sz w:val="18"/>
                <w:szCs w:val="18"/>
              </w:rPr>
              <w:t>1.《</w:t>
            </w:r>
            <w:r>
              <w:rPr>
                <w:rFonts w:hint="eastAsia" w:ascii="仿宋_GB2312" w:eastAsia="仿宋_GB2312" w:cs="仿宋_GB2312"/>
                <w:color w:val="000000"/>
                <w:kern w:val="0"/>
                <w:sz w:val="18"/>
                <w:szCs w:val="18"/>
              </w:rPr>
              <w:t>医疗保障基金使用监督管理举报处理暂行办法</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国家医疗保障局令第5号</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第二十一条</w:t>
            </w:r>
            <w:r>
              <w:rPr>
                <w:rFonts w:hint="eastAsia" w:ascii="仿宋_GB2312" w:eastAsia="仿宋_GB2312" w:cs="仿宋_GB2312"/>
                <w:color w:val="000000"/>
                <w:kern w:val="0"/>
                <w:sz w:val="18"/>
                <w:szCs w:val="18"/>
              </w:rPr>
              <w:t>   经查实符合举报奖励条件的举报，医疗保障行政部门应当按规定予以奖励。</w:t>
            </w:r>
            <w:r>
              <w:rPr>
                <w:rFonts w:ascii="仿宋_GB2312" w:eastAsia="仿宋_GB2312" w:cs="仿宋_GB2312"/>
                <w:color w:val="000000"/>
                <w:kern w:val="0"/>
                <w:sz w:val="18"/>
                <w:szCs w:val="18"/>
              </w:rPr>
              <w:t xml:space="preserve">          2.</w:t>
            </w:r>
            <w:r>
              <w:rPr>
                <w:rFonts w:hint="eastAsia" w:ascii="仿宋_GB2312" w:eastAsia="仿宋_GB2312" w:cs="仿宋_GB2312"/>
                <w:i w:val="0"/>
                <w:color w:val="000000"/>
                <w:kern w:val="0"/>
                <w:sz w:val="18"/>
                <w:szCs w:val="18"/>
                <w:u w:val="none"/>
                <w:lang w:val="en-US" w:eastAsia="zh-CN"/>
              </w:rPr>
              <w:t>《河北省欺诈骗取医疗保障基金行为举报奖励工作实施细则（试行）》（冀医保规〔2019〕3号）第二十五条 举报奖励坚持精神奖励与物质奖励相结合。各统筹地区医疗保障部门按查实欺诈骗取医疗保障基金金额的一定比例，对符合条件的举报人予以奖励，最高额度不超过10万元。举报奖励资金，原则上应当采用非现金方式支付，具体奖励标准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(一)查实金额在10万元以下(含10万元)的，按查实金额的 3%给予奖励，不足500元的补足500元；（二）查实金额在10万元以上50万元以下(含50万元)的，奖励3000元加上超出10万元部分的2%；</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(三)查实金额在50万元以上的，奖励11000元加上超出50万元部分的1%；(四)最高奖励金额不超过10万元。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举报线索不涉及骗取金额或经查实无法确定骗取金额，但举报内容属实的，给予资金200元奖励。最终认定的违法事实与举报事项不一致的，不予以奖励；最终认定的违法事实与举报事项部分一致的，奖励金额只计算相一致部分；除举报事项外，还认定其他违法事实的，其他违法事实部分不计算奖励金额。</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受理责任：依法受理、办理本级管辖范围内及上级交办、同级转办的欺诈骗取医疗保障基金行为举报线索；</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2.督办责任：对属于下级医疗保障部门管辖范围的欺诈骗取医疗保障基金行为举报进行转办和督办；</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3.查处责任：根据受理的举报案件线索，开展立案调查，积极会同有关部门协同办理跨行政区域、跨统筹层级及跨管理部门的欺诈骗取医疗保障基金行为举报案件；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4.奖励责任：根据举报案件查处金额，按照规定比例对调查属实的举报案件举报人实施奖励；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1.对举报线索应当依法受理、立案调查，不受理的；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2.泄露举报人相关信息的；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3.伪造或者教唆、伙同他人伪造举报材料，冒领举报奖金的；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4.工作中滥用职权、徇私舞弊、玩忽职守造成不良后果的；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5.工作中贪污、挪用、私分、截留奖励资金的；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default"/>
          <w:sz w:val="18"/>
          <w:szCs w:val="18"/>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F2299-1ACC-40F2-A600-86F928DC89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embedRegular r:id="rId2" w:fontKey="{2E828618-FB21-4769-A52A-C9A917645965}"/>
  </w:font>
  <w:font w:name="方正小标宋简体">
    <w:panose1 w:val="03000509000000000000"/>
    <w:charset w:val="86"/>
    <w:family w:val="auto"/>
    <w:pitch w:val="default"/>
    <w:sig w:usb0="00000000" w:usb1="00000000" w:usb2="00000000" w:usb3="00000000" w:csb0="00000000" w:csb1="00000000"/>
    <w:embedRegular r:id="rId3" w:fontKey="{6B1E2991-832D-4808-A775-D07DE3BC56EF}"/>
  </w:font>
  <w:font w:name="方正仿宋_GB2312">
    <w:altName w:val="仿宋"/>
    <w:panose1 w:val="02000000000000000000"/>
    <w:charset w:val="86"/>
    <w:family w:val="auto"/>
    <w:pitch w:val="default"/>
    <w:sig w:usb0="00000000" w:usb1="00000000" w:usb2="00000012" w:usb3="00000000" w:csb0="00040001" w:csb1="00000000"/>
    <w:embedRegular r:id="rId4" w:fontKey="{67309DCA-C779-4AB4-88AA-09CA36CF3B4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C9B9"/>
    <w:multiLevelType w:val="singleLevel"/>
    <w:tmpl w:val="62D0C9B9"/>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mMyNjQzMGJhMzRlYzQxMDY3MDQ2YjIzN2FmM2QifQ=="/>
  </w:docVars>
  <w:rsids>
    <w:rsidRoot w:val="3B365882"/>
    <w:rsid w:val="09BB20BA"/>
    <w:rsid w:val="15FE6437"/>
    <w:rsid w:val="16890478"/>
    <w:rsid w:val="220F0EAC"/>
    <w:rsid w:val="23CB05A0"/>
    <w:rsid w:val="2B832A4C"/>
    <w:rsid w:val="326538B4"/>
    <w:rsid w:val="32C56615"/>
    <w:rsid w:val="355F643C"/>
    <w:rsid w:val="372759F0"/>
    <w:rsid w:val="3B365882"/>
    <w:rsid w:val="4FC52B4B"/>
    <w:rsid w:val="530567CA"/>
    <w:rsid w:val="5B9805DF"/>
    <w:rsid w:val="5C267A26"/>
    <w:rsid w:val="5D824182"/>
    <w:rsid w:val="60C27210"/>
    <w:rsid w:val="646B7DAF"/>
    <w:rsid w:val="64E271CE"/>
    <w:rsid w:val="69325175"/>
    <w:rsid w:val="6CA77594"/>
    <w:rsid w:val="6CAE69C4"/>
    <w:rsid w:val="77BA4E88"/>
    <w:rsid w:val="78A62239"/>
    <w:rsid w:val="7DC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Arial"/>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cs="Arial"/>
      <w:b/>
      <w:bCs/>
      <w:sz w:val="32"/>
      <w:szCs w:val="32"/>
    </w:rPr>
  </w:style>
  <w:style w:type="paragraph" w:styleId="4">
    <w:name w:val="heading 3"/>
    <w:basedOn w:val="1"/>
    <w:next w:val="1"/>
    <w:qFormat/>
    <w:uiPriority w:val="0"/>
    <w:pPr>
      <w:keepNext/>
      <w:keepLines/>
      <w:widowControl w:val="0"/>
      <w:spacing w:before="260" w:after="260" w:line="415" w:lineRule="auto"/>
      <w:outlineLvl w:val="2"/>
    </w:pPr>
    <w:rPr>
      <w:rFonts w:ascii="Calibri" w:hAnsi="Calibri" w:eastAsia="宋体" w:cs="Arial"/>
      <w:b/>
      <w:bCs/>
      <w:sz w:val="32"/>
      <w:szCs w:val="32"/>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Calibri" w:eastAsia="宋体" w:cs="Arial"/>
      <w:snapToGrid/>
      <w:color w:val="auto"/>
      <w:spacing w:val="0"/>
      <w:w w:val="100"/>
      <w:kern w:val="0"/>
      <w:position w:val="0"/>
      <w:sz w:val="24"/>
      <w:szCs w:val="21"/>
      <w:u w:val="none" w:color="auto"/>
      <w:vertAlign w:val="baseline"/>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rFonts w:ascii="Times New Roman" w:hAnsi="Times New Roman" w:eastAsia="宋体" w:cs="Times New Roman"/>
      <w:b/>
    </w:rPr>
  </w:style>
  <w:style w:type="character" w:customStyle="1" w:styleId="10">
    <w:name w:val="font11"/>
    <w:basedOn w:val="8"/>
    <w:qFormat/>
    <w:uiPriority w:val="0"/>
    <w:rPr>
      <w:rFonts w:ascii="仿宋_GB2312" w:hAnsi="Times New Roman" w:eastAsia="仿宋_GB2312" w:cs="仿宋_GB2312"/>
      <w:color w:val="000000"/>
      <w:sz w:val="16"/>
      <w:szCs w:val="16"/>
      <w:u w:val="none"/>
    </w:rPr>
  </w:style>
  <w:style w:type="character" w:customStyle="1" w:styleId="11">
    <w:name w:val="font01"/>
    <w:basedOn w:val="8"/>
    <w:qFormat/>
    <w:uiPriority w:val="0"/>
    <w:rPr>
      <w:rFonts w:ascii="宋体" w:hAnsi="Times New Roman"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16944</Words>
  <Characters>17275</Characters>
  <Lines>1150</Lines>
  <Paragraphs>176</Paragraphs>
  <TotalTime>157</TotalTime>
  <ScaleCrop>false</ScaleCrop>
  <LinksUpToDate>false</LinksUpToDate>
  <CharactersWithSpaces>17323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2022-07-06T01:37:00Z</dcterms:created>
  <dc:creator>Administrator</dc:creator>
  <cp:lastModifiedBy>User</cp:lastModifiedBy>
  <cp:lastPrinted>2023-02-17T02:29:00Z</cp:lastPrinted>
  <dcterms:modified xsi:type="dcterms:W3CDTF">2024-01-15T08:05:17Z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E4367759FC124EE48EDD0407539BAE12</vt:lpwstr>
  </property>
</Properties>
</file>