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700" w:lineRule="exact"/>
        <w:rPr>
          <w:rFonts w:ascii="方正小标宋简体" w:eastAsia="方正小标宋简体" w:cs="宋体"/>
          <w:color w:val="000000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 w:cs="宋体"/>
          <w:color w:val="000000"/>
          <w:sz w:val="44"/>
          <w:szCs w:val="44"/>
        </w:rPr>
      </w:pPr>
      <w:r>
        <w:rPr>
          <w:rFonts w:ascii="方正小标宋简体" w:eastAsia="方正小标宋简体" w:cs="宋体" w:hint="eastAsia"/>
          <w:color w:val="000000"/>
          <w:sz w:val="44"/>
          <w:szCs w:val="44"/>
        </w:rPr>
        <w:t>关于对秦皇岛市</w:t>
      </w:r>
      <w:r>
        <w:rPr>
          <w:rFonts w:ascii="方正小标宋简体" w:eastAsia="方正小标宋简体" w:cs="宋体"/>
          <w:color w:val="000000"/>
          <w:sz w:val="44"/>
          <w:szCs w:val="44"/>
        </w:rPr>
        <w:t>工人</w:t>
      </w:r>
      <w:r>
        <w:rPr>
          <w:rFonts w:ascii="方正小标宋简体" w:eastAsia="方正小标宋简体" w:cs="宋体" w:hint="eastAsia"/>
          <w:color w:val="000000"/>
          <w:sz w:val="44"/>
          <w:szCs w:val="44"/>
        </w:rPr>
        <w:t>医院</w:t>
      </w:r>
    </w:p>
    <w:p>
      <w:pPr>
        <w:spacing w:line="700" w:lineRule="exact"/>
        <w:jc w:val="center"/>
        <w:rPr>
          <w:rFonts w:ascii="方正小标宋简体" w:eastAsia="方正小标宋简体" w:cs="宋体"/>
          <w:color w:val="000000"/>
          <w:sz w:val="44"/>
          <w:szCs w:val="44"/>
        </w:rPr>
      </w:pPr>
      <w:r>
        <w:rPr>
          <w:rFonts w:ascii="方正小标宋简体" w:eastAsia="方正小标宋简体" w:cs="宋体" w:hint="eastAsia"/>
          <w:color w:val="000000"/>
          <w:sz w:val="44"/>
          <w:szCs w:val="44"/>
        </w:rPr>
        <w:t>“双随机、一公开”检查</w:t>
      </w:r>
      <w:bookmarkStart w:id="0" w:name="_Toc5180444"/>
      <w:r>
        <w:rPr>
          <w:rFonts w:ascii="方正小标宋简体" w:eastAsia="方正小标宋简体" w:cs="宋体"/>
          <w:color w:val="000000"/>
          <w:sz w:val="44"/>
          <w:szCs w:val="44"/>
        </w:rPr>
        <w:t>情况</w:t>
      </w:r>
      <w:bookmarkEnd w:id="0"/>
      <w:r>
        <w:rPr>
          <w:rFonts w:ascii="方正小标宋简体" w:eastAsia="方正小标宋简体" w:cs="宋体"/>
          <w:color w:val="000000"/>
          <w:sz w:val="44"/>
          <w:szCs w:val="44"/>
        </w:rPr>
        <w:t>通报</w:t>
      </w:r>
    </w:p>
    <w:p>
      <w:pPr>
        <w:spacing w:line="560" w:lineRule="exact"/>
        <w:ind w:left="11" w:firstLineChars="200" w:firstLine="640"/>
        <w:rPr>
          <w:rFonts w:ascii="仿宋_GB2312" w:eastAsia="仿宋_GB2312" w:cs="华文仿宋"/>
          <w:sz w:val="32"/>
          <w:szCs w:val="32"/>
        </w:rPr>
      </w:pPr>
    </w:p>
    <w:p>
      <w:pPr>
        <w:spacing w:line="560" w:lineRule="exact"/>
        <w:ind w:left="11" w:firstLineChars="200" w:firstLine="640"/>
        <w:rPr>
          <w:rFonts w:ascii="仿宋_GB2312" w:eastAsia="仿宋_GB2312" w:cs="华文仿宋"/>
          <w:sz w:val="32"/>
          <w:szCs w:val="32"/>
        </w:rPr>
      </w:pPr>
      <w:r>
        <w:rPr>
          <w:rFonts w:ascii="仿宋_GB2312" w:eastAsia="仿宋_GB2312" w:cs="华文仿宋" w:hint="eastAsia"/>
          <w:sz w:val="32"/>
          <w:szCs w:val="32"/>
        </w:rPr>
        <w:t>按照秦皇岛市医疗保障局《</w:t>
      </w:r>
      <w:r>
        <w:rPr>
          <w:rFonts w:eastAsia="仿宋_GB2312"/>
          <w:sz w:val="32"/>
          <w:szCs w:val="32"/>
        </w:rPr>
        <w:t>2024</w:t>
      </w:r>
      <w:r>
        <w:rPr>
          <w:rFonts w:ascii="仿宋_GB2312" w:eastAsia="仿宋_GB2312" w:cs="华文仿宋" w:hint="eastAsia"/>
          <w:sz w:val="32"/>
          <w:szCs w:val="32"/>
        </w:rPr>
        <w:t>年度“双随机、一公开”监管工作实施方案》相关要求，</w:t>
      </w:r>
      <w:r>
        <w:rPr>
          <w:rFonts w:ascii="仿宋_GB2312" w:eastAsia="仿宋_GB2312" w:cs="华文仿宋"/>
          <w:sz w:val="32"/>
          <w:szCs w:val="32"/>
        </w:rPr>
        <w:t>今年随机抽取秦皇岛市工人医院为检查对象。</w:t>
      </w:r>
      <w:r>
        <w:rPr>
          <w:rFonts w:ascii="仿宋_GB2312" w:eastAsia="仿宋_GB2312" w:cs="华文仿宋" w:hint="eastAsia"/>
          <w:sz w:val="32"/>
          <w:szCs w:val="32"/>
        </w:rPr>
        <w:t>市医疗保障局组成检查组，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eastAsia="仿宋_GB2312" w:cs="华文仿宋"/>
          <w:sz w:val="32"/>
          <w:szCs w:val="32"/>
        </w:rPr>
        <w:t>2024</w:t>
      </w:r>
      <w:r>
        <w:rPr>
          <w:rFonts w:ascii="仿宋_GB2312" w:eastAsia="仿宋_GB2312" w:cs="华文仿宋" w:hint="eastAsia"/>
          <w:sz w:val="32"/>
          <w:szCs w:val="32"/>
        </w:rPr>
        <w:t>年</w:t>
      </w:r>
      <w:r>
        <w:rPr>
          <w:rFonts w:eastAsia="仿宋_GB2312" w:cs="华文仿宋"/>
          <w:sz w:val="32"/>
          <w:szCs w:val="32"/>
        </w:rPr>
        <w:t>7</w:t>
      </w:r>
      <w:r>
        <w:rPr>
          <w:rFonts w:ascii="仿宋_GB2312" w:eastAsia="仿宋_GB2312" w:cs="华文仿宋" w:hint="eastAsia"/>
          <w:sz w:val="32"/>
          <w:szCs w:val="32"/>
        </w:rPr>
        <w:t>月</w:t>
      </w:r>
      <w:r>
        <w:rPr>
          <w:rFonts w:eastAsia="仿宋_GB2312" w:cs="华文仿宋"/>
          <w:sz w:val="32"/>
          <w:szCs w:val="32"/>
        </w:rPr>
        <w:t>1</w:t>
      </w:r>
      <w:r>
        <w:rPr>
          <w:rFonts w:ascii="仿宋_GB2312" w:eastAsia="仿宋_GB2312" w:cs="华文仿宋" w:hint="eastAsia"/>
          <w:sz w:val="32"/>
          <w:szCs w:val="32"/>
        </w:rPr>
        <w:t>日至</w:t>
      </w:r>
      <w:r>
        <w:rPr>
          <w:rFonts w:eastAsia="仿宋_GB2312" w:cs="华文仿宋"/>
          <w:sz w:val="32"/>
          <w:szCs w:val="32"/>
        </w:rPr>
        <w:t>2024</w:t>
      </w:r>
      <w:r>
        <w:rPr>
          <w:rFonts w:ascii="仿宋_GB2312" w:eastAsia="仿宋_GB2312" w:cs="华文仿宋" w:hint="eastAsia"/>
          <w:sz w:val="32"/>
          <w:szCs w:val="32"/>
        </w:rPr>
        <w:t>年</w:t>
      </w:r>
      <w:r>
        <w:rPr>
          <w:rFonts w:eastAsia="仿宋_GB2312" w:cs="华文仿宋"/>
          <w:sz w:val="32"/>
          <w:szCs w:val="32"/>
        </w:rPr>
        <w:t>7</w:t>
      </w:r>
      <w:r>
        <w:rPr>
          <w:rFonts w:ascii="仿宋_GB2312" w:eastAsia="仿宋_GB2312" w:cs="华文仿宋" w:hint="eastAsia"/>
          <w:sz w:val="32"/>
          <w:szCs w:val="32"/>
        </w:rPr>
        <w:t>月</w:t>
      </w:r>
      <w:r>
        <w:rPr>
          <w:rFonts w:eastAsia="仿宋_GB2312" w:cs="华文仿宋"/>
          <w:sz w:val="32"/>
          <w:szCs w:val="32"/>
        </w:rPr>
        <w:t>2</w:t>
      </w:r>
      <w:r>
        <w:rPr>
          <w:rFonts w:ascii="仿宋_GB2312" w:eastAsia="仿宋_GB2312" w:cs="华文仿宋" w:hint="eastAsia"/>
          <w:sz w:val="32"/>
          <w:szCs w:val="32"/>
        </w:rPr>
        <w:t>日对秦皇岛市</w:t>
      </w:r>
      <w:r>
        <w:rPr>
          <w:rFonts w:ascii="仿宋_GB2312" w:eastAsia="仿宋_GB2312" w:cs="华文仿宋"/>
          <w:sz w:val="32"/>
          <w:szCs w:val="32"/>
        </w:rPr>
        <w:t>工人</w:t>
      </w:r>
      <w:r>
        <w:rPr>
          <w:rFonts w:ascii="仿宋_GB2312" w:eastAsia="仿宋_GB2312" w:cs="华文仿宋" w:hint="eastAsia"/>
          <w:sz w:val="32"/>
          <w:szCs w:val="32"/>
        </w:rPr>
        <w:t>医院</w:t>
      </w:r>
      <w:r>
        <w:rPr>
          <w:rFonts w:ascii="仿宋_GB2312" w:eastAsia="仿宋_GB2312" w:cs="华文仿宋"/>
          <w:sz w:val="32"/>
          <w:szCs w:val="32"/>
        </w:rPr>
        <w:t>医保基金使用情况</w:t>
      </w:r>
      <w:r>
        <w:rPr>
          <w:rFonts w:ascii="仿宋_GB2312" w:eastAsia="仿宋_GB2312" w:cs="华文仿宋" w:hint="eastAsia"/>
          <w:sz w:val="32"/>
          <w:szCs w:val="32"/>
        </w:rPr>
        <w:t>进行实地检查</w:t>
      </w:r>
      <w:r>
        <w:rPr>
          <w:rFonts w:ascii="仿宋_GB2312" w:eastAsia="仿宋_GB2312" w:cs="华文仿宋"/>
          <w:sz w:val="32"/>
          <w:szCs w:val="32"/>
        </w:rPr>
        <w:t>，</w:t>
      </w:r>
      <w:r>
        <w:rPr>
          <w:rFonts w:ascii="仿宋_GB2312" w:eastAsia="仿宋_GB2312" w:hint="eastAsia"/>
          <w:color w:val="auto"/>
          <w:sz w:val="32"/>
          <w:szCs w:val="32"/>
        </w:rPr>
        <w:t>检查组通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过召开座谈会、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抽查病历、人员问询、大数据筛查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等方式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，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发现该院存在超标准收费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重复收费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无医嘱、超医嘱收费等</w:t>
      </w:r>
      <w:r>
        <w:rPr>
          <w:rFonts w:ascii="仿宋_GB2312" w:eastAsia="仿宋_GB2312" w:hint="eastAsia"/>
          <w:color w:val="auto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color w:val="auto"/>
          <w:sz w:val="32"/>
          <w:szCs w:val="32"/>
        </w:rPr>
        <w:t>类</w:t>
      </w:r>
      <w:r>
        <w:rPr>
          <w:rFonts w:ascii="仿宋_GB2312" w:eastAsia="仿宋_GB2312" w:hint="eastAsia"/>
          <w:color w:val="auto"/>
          <w:sz w:val="32"/>
          <w:szCs w:val="32"/>
          <w:lang w:val="en-US" w:eastAsia="zh-CN"/>
        </w:rPr>
        <w:t>14项违规</w:t>
      </w:r>
      <w:r>
        <w:rPr>
          <w:rFonts w:ascii="仿宋_GB2312" w:eastAsia="仿宋_GB2312" w:hint="eastAsia"/>
          <w:color w:val="auto"/>
          <w:sz w:val="32"/>
          <w:szCs w:val="32"/>
        </w:rPr>
        <w:t>问题</w:t>
      </w:r>
      <w:r>
        <w:rPr>
          <w:rFonts w:ascii="仿宋_GB2312" w:eastAsia="仿宋_GB2312" w:cs="华文仿宋" w:hint="eastAsia"/>
          <w:sz w:val="32"/>
          <w:szCs w:val="32"/>
        </w:rPr>
        <w:t>。</w:t>
      </w:r>
    </w:p>
    <w:p>
      <w:pPr>
        <w:spacing w:line="560" w:lineRule="exact"/>
        <w:ind w:left="11" w:firstLineChars="200" w:firstLine="640"/>
        <w:rPr>
          <w:rFonts w:ascii="仿宋_GB2312" w:eastAsia="仿宋_GB2312" w:cs="华文仿宋"/>
          <w:sz w:val="32"/>
          <w:szCs w:val="32"/>
        </w:rPr>
      </w:pPr>
      <w:r>
        <w:rPr>
          <w:rFonts w:ascii="仿宋_GB2312" w:eastAsia="仿宋_GB2312" w:cs="华文仿宋"/>
          <w:sz w:val="32"/>
          <w:szCs w:val="32"/>
        </w:rPr>
        <w:t>处理情况：（一）</w:t>
      </w:r>
      <w:r>
        <w:rPr>
          <w:rFonts w:ascii="仿宋_GB2312" w:eastAsia="仿宋_GB2312" w:cs="华文仿宋" w:hint="eastAsia"/>
          <w:sz w:val="32"/>
          <w:szCs w:val="32"/>
        </w:rPr>
        <w:t>追回违规基金。</w:t>
      </w:r>
      <w:r>
        <w:rPr>
          <w:rFonts w:ascii="仿宋_GB2312" w:eastAsia="仿宋_GB2312" w:cs="华文仿宋"/>
          <w:sz w:val="32"/>
          <w:szCs w:val="32"/>
        </w:rPr>
        <w:t>（二）</w:t>
      </w:r>
      <w:r>
        <w:rPr>
          <w:rFonts w:ascii="仿宋_GB2312" w:eastAsia="仿宋_GB2312" w:cs="华文仿宋" w:hint="eastAsia"/>
          <w:sz w:val="32"/>
          <w:szCs w:val="32"/>
        </w:rPr>
        <w:t>责成该院对检查中暴露的违规问题立即进行整改，并将结果以书面形式</w:t>
      </w:r>
      <w:r>
        <w:rPr>
          <w:rFonts w:ascii="仿宋_GB2312" w:eastAsia="仿宋_GB2312" w:cs="华文仿宋"/>
          <w:sz w:val="32"/>
          <w:szCs w:val="32"/>
        </w:rPr>
        <w:t>报送</w:t>
      </w:r>
      <w:bookmarkStart w:id="1" w:name="_GoBack"/>
      <w:bookmarkEnd w:id="1"/>
      <w:r>
        <w:rPr>
          <w:rFonts w:ascii="仿宋_GB2312" w:eastAsia="仿宋_GB2312" w:cs="华文仿宋" w:hint="eastAsia"/>
          <w:sz w:val="32"/>
          <w:szCs w:val="32"/>
        </w:rPr>
        <w:t>市医保局，并保证今后不再发生类似问题。</w:t>
      </w:r>
      <w:r>
        <w:rPr>
          <w:rFonts w:ascii="仿宋_GB2312" w:eastAsia="仿宋_GB2312" w:cs="华文仿宋"/>
          <w:sz w:val="32"/>
          <w:szCs w:val="32"/>
        </w:rPr>
        <w:t>（三）</w:t>
      </w:r>
      <w:r>
        <w:rPr>
          <w:rFonts w:ascii="仿宋_GB2312" w:eastAsia="仿宋_GB2312" w:cs="华文仿宋" w:hint="eastAsia"/>
          <w:sz w:val="32"/>
          <w:szCs w:val="32"/>
        </w:rPr>
        <w:t>根据检查发现的违规问题，举一反三，对全院所有收费项目进行自查并整改。</w:t>
      </w:r>
    </w:p>
    <w:p>
      <w:pPr>
        <w:spacing w:line="560" w:lineRule="exact"/>
        <w:ind w:left="11" w:firstLineChars="200" w:firstLine="640"/>
        <w:rPr>
          <w:rStyle w:val="0"/>
          <w:rFonts w:ascii="仿宋_GB2312" w:eastAsia="仿宋_GB2312" w:cs="仿宋_GB2312" w:hint="eastAsia"/>
          <w:bCs/>
          <w:sz w:val="32"/>
          <w:szCs w:val="32"/>
        </w:rPr>
      </w:pPr>
    </w:p>
    <w:p>
      <w:pPr>
        <w:spacing w:line="560" w:lineRule="exact"/>
        <w:ind w:left="11" w:firstLineChars="200" w:firstLine="640"/>
        <w:rPr>
          <w:rStyle w:val="0"/>
          <w:rFonts w:ascii="仿宋_GB2312" w:eastAsia="仿宋_GB2312" w:cs="仿宋_GB2312" w:hint="eastAsia"/>
          <w:bCs/>
          <w:sz w:val="32"/>
          <w:szCs w:val="32"/>
        </w:rPr>
      </w:pPr>
    </w:p>
    <w:p>
      <w:pPr>
        <w:wordWrap w:val="0"/>
        <w:spacing w:line="560" w:lineRule="exact"/>
        <w:ind w:left="11" w:firstLineChars="200" w:firstLine="640"/>
        <w:jc w:val="right"/>
        <w:rPr>
          <w:rStyle w:val="0"/>
          <w:rFonts w:ascii="仿宋_GB2312" w:eastAsia="仿宋_GB2312" w:cs="仿宋_GB2312" w:hint="eastAsia"/>
          <w:bCs/>
          <w:sz w:val="32"/>
          <w:szCs w:val="32"/>
        </w:rPr>
      </w:pPr>
      <w:r>
        <w:rPr>
          <w:rStyle w:val="0"/>
          <w:rFonts w:ascii="仿宋_GB2312" w:eastAsia="仿宋_GB2312" w:cs="仿宋_GB2312"/>
          <w:bCs/>
          <w:sz w:val="32"/>
          <w:szCs w:val="32"/>
        </w:rPr>
        <w:t xml:space="preserve">秦皇岛市医疗保障局       </w:t>
      </w:r>
    </w:p>
    <w:p>
      <w:pPr>
        <w:wordWrap w:val="0"/>
        <w:spacing w:line="560" w:lineRule="exact"/>
        <w:ind w:left="11" w:firstLineChars="200" w:firstLine="640"/>
        <w:jc w:val="right"/>
        <w:rPr>
          <w:rStyle w:val="0"/>
          <w:rFonts w:ascii="仿宋_GB2312" w:eastAsia="仿宋_GB2312" w:cs="仿宋_GB2312" w:hint="eastAsia"/>
          <w:bCs/>
          <w:sz w:val="32"/>
          <w:szCs w:val="32"/>
        </w:rPr>
      </w:pPr>
      <w:r>
        <w:rPr>
          <w:rStyle w:val="0"/>
          <w:rFonts w:ascii="仿宋_GB2312" w:eastAsia="仿宋_GB2312" w:cs="仿宋_GB2312"/>
          <w:bCs/>
          <w:sz w:val="32"/>
          <w:szCs w:val="32"/>
        </w:rPr>
        <w:t xml:space="preserve">2024年7月24日        </w:t>
      </w:r>
    </w:p>
    <w:p>
      <w:pPr>
        <w:spacing w:line="560" w:lineRule="exact"/>
        <w:ind w:left="11" w:firstLineChars="200" w:firstLine="640"/>
        <w:rPr>
          <w:rStyle w:val="0"/>
          <w:rFonts w:ascii="仿宋_GB2312" w:eastAsia="仿宋_GB2312" w:cs="仿宋_GB2312" w:hint="eastAsia"/>
          <w:bCs/>
          <w:sz w:val="32"/>
          <w:szCs w:val="32"/>
        </w:rPr>
      </w:pPr>
    </w:p>
    <w:p>
      <w:pPr>
        <w:spacing w:line="560" w:lineRule="exact"/>
        <w:ind w:left="11" w:firstLineChars="200" w:firstLine="640"/>
        <w:rPr>
          <w:rStyle w:val="0"/>
          <w:rFonts w:ascii="仿宋_GB2312" w:eastAsia="仿宋_GB2312" w:cs="仿宋_GB2312" w:hint="eastAsia"/>
          <w:bCs/>
          <w:sz w:val="32"/>
          <w:szCs w:val="32"/>
        </w:rPr>
      </w:pPr>
    </w:p>
    <w:sectPr>
      <w:footerReference w:type="default" r:id="rId2"/>
      <w:pgSz w:w="11907" w:h="16840"/>
      <w:pgMar w:top="2098" w:right="1474" w:bottom="1871" w:left="1588" w:header="851" w:footer="1361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微软雅黑"/>
    <w:panose1 w:val="00000000000000000000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auto"/>
    <w:pitch w:val="variable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variable"/>
    <w:sig w:usb0="00000000" w:usb1="00000000" w:usb2="00000000" w:usb3="00000000" w:csb0="0004009F" w:csb1="DFD7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3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2 2" o:spid="_x0000_s2" filled="f" stroked="f" style="position:absolute;margin-left:0.0pt;margin-top:0.0pt;width:144.0pt;height:144.0pt;z-index:12;mso-position-horizontal:center;mso-position-horizontal-relative:margin;mso-position-vertical:absolute;mso-wrap-distance-left:8.999863pt;mso-wrap-distance-right:8.999863pt;">
              <v:stroke color="#000000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BreakWrappedTables/>
    <w:doNotUseIndentAsNumberingTabStop/>
    <w:useAltKinsokuLineBreakRu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spacing w:line="420" w:lineRule="auto"/>
    </w:pPr>
    <w:rPr>
      <w:rFonts w:ascii="宋体"/>
      <w:b/>
      <w:bCs/>
      <w:sz w:val="18"/>
      <w:szCs w:val="24"/>
    </w:rPr>
  </w:style>
  <w:style w:type="paragraph" w:styleId="16">
    <w:name w:val="Body Text First Indent"/>
    <w:basedOn w:val="15"/>
    <w:next w:val="0"/>
    <w:pPr>
      <w:ind w:firstLine="420"/>
    </w:pPr>
  </w:style>
  <w:style w:type="paragraph" w:styleId="17">
    <w:name w:val="annotation text"/>
    <w:basedOn w:val="0"/>
    <w:pPr>
      <w:jc w:val="left"/>
    </w:pPr>
  </w:style>
  <w:style w:type="paragraph" w:styleId="18">
    <w:name w:val="Body Text Indent"/>
    <w:basedOn w:val="0"/>
    <w:next w:val="19"/>
    <w:pPr>
      <w:spacing w:line="540" w:lineRule="exact"/>
      <w:ind w:firstLine="480"/>
    </w:pPr>
    <w:rPr>
      <w:sz w:val="24"/>
    </w:rPr>
  </w:style>
  <w:style w:type="paragraph" w:styleId="19">
    <w:name w:val="toc 9"/>
    <w:basedOn w:val="0"/>
    <w:next w:val="0"/>
    <w:pPr>
      <w:spacing w:line="360" w:lineRule="auto"/>
      <w:ind w:left="1920" w:firstLine="425"/>
    </w:pPr>
    <w:rPr>
      <w:sz w:val="18"/>
    </w:rPr>
  </w:style>
  <w:style w:type="paragraph" w:styleId="20">
    <w:name w:val="Plain Text"/>
    <w:basedOn w:val="0"/>
    <w:rPr>
      <w:rFonts w:ascii="宋体" w:cs="Courier New"/>
      <w:szCs w:val="21"/>
    </w:rPr>
  </w:style>
  <w:style w:type="paragraph" w:styleId="21">
    <w:name w:val="Body Text Indent 2"/>
    <w:basedOn w:val="0"/>
    <w:pPr>
      <w:spacing w:after="120" w:line="480" w:lineRule="auto"/>
      <w:ind w:leftChars="200" w:left="200"/>
    </w:pPr>
  </w:style>
  <w:style w:type="paragraph" w:styleId="22">
    <w:name w:val="Balloon Text"/>
    <w:basedOn w:val="0"/>
    <w:rPr>
      <w:sz w:val="18"/>
      <w:szCs w:val="18"/>
    </w:rPr>
  </w:style>
  <w:style w:type="paragraph" w:styleId="23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Body Text First Indent 2"/>
    <w:basedOn w:val="18"/>
    <w:next w:val="16"/>
    <w:pPr>
      <w:spacing w:after="120" w:line="240" w:lineRule="auto"/>
      <w:ind w:leftChars="200" w:left="200" w:firstLine="420"/>
    </w:pPr>
    <w:rPr>
      <w:sz w:val="21"/>
    </w:rPr>
  </w:style>
  <w:style w:type="paragraph" w:styleId="2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footnote text"/>
    <w:basedOn w:val="0"/>
    <w:pPr>
      <w:snapToGrid w:val="0"/>
      <w:jc w:val="left"/>
    </w:pPr>
    <w:rPr>
      <w:rFonts w:ascii="Calibri" w:hAnsi="Calibri"/>
      <w:sz w:val="18"/>
    </w:rPr>
  </w:style>
  <w:style w:type="paragraph" w:styleId="2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28">
    <w:name w:val="Strong"/>
    <w:rPr>
      <w:b/>
      <w:bCs/>
    </w:rPr>
  </w:style>
  <w:style w:type="character" w:styleId="29">
    <w:name w:val="page number"/>
    <w:basedOn w:val="10"/>
  </w:style>
  <w:style w:type="character" w:styleId="30">
    <w:name w:val="Emphasis"/>
    <w:rPr>
      <w:i/>
    </w:rPr>
  </w:style>
  <w:style w:type="character" w:styleId="31">
    <w:name w:val="footnote reference"/>
    <w:rPr>
      <w:vertAlign w:val="superscript"/>
    </w:rPr>
  </w:style>
  <w:style w:type="paragraph" w:customStyle="1" w:styleId="32">
    <w:name w:val="列出段落1"/>
    <w:basedOn w:val="0"/>
    <w:pPr>
      <w:spacing w:line="360" w:lineRule="auto"/>
      <w:ind w:left="720" w:firstLineChars="200" w:firstLine="200"/>
      <w:jc w:val="left"/>
    </w:pPr>
    <w:rPr>
      <w:sz w:val="28"/>
    </w:rPr>
  </w:style>
  <w:style w:type="paragraph" w:customStyle="1" w:styleId="33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34">
    <w:name w:val="1 Char Char Char1 Char Char Char Char Char Char"/>
    <w:basedOn w:val="0"/>
    <w:rPr>
      <w:rFonts w:ascii="Tahoma" w:hAnsi="Tahoma"/>
      <w:sz w:val="24"/>
    </w:rPr>
  </w:style>
  <w:style w:type="paragraph" w:customStyle="1" w:styleId="35">
    <w:name w:val="msonormalcxsplast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36">
    <w:name w:val="默认段落字体 Para Char Char Char Char Char Char Char"/>
    <w:basedOn w:val="0"/>
  </w:style>
  <w:style w:type="paragraph" w:customStyle="1" w:styleId="37">
    <w:name w:val="Char Char Char Char Char Char"/>
    <w:basedOn w:val="0"/>
    <w:pPr>
      <w:widowControl/>
      <w:spacing w:after="160" w:line="240" w:lineRule="exact"/>
      <w:jc w:val="left"/>
    </w:pPr>
    <w:rPr>
      <w:rFonts w:ascii="Arial" w:eastAsia="Times New Roman" w:cs="Verdana" w:hAnsi="Arial"/>
      <w:b/>
      <w:kern w:val="0"/>
      <w:sz w:val="24"/>
    </w:rPr>
  </w:style>
  <w:style w:type="paragraph" w:customStyle="1" w:styleId="38">
    <w:name w:val="列出段落2"/>
    <w:basedOn w:val="0"/>
    <w:pPr>
      <w:ind w:firstLineChars="200" w:firstLine="200"/>
    </w:pPr>
  </w:style>
  <w:style w:type="paragraph" w:customStyle="1" w:styleId="39">
    <w:name w:val="Char Char Char Char Char Char Char"/>
    <w:basedOn w:val="0"/>
    <w:rPr>
      <w:szCs w:val="24"/>
    </w:rPr>
  </w:style>
  <w:style w:type="paragraph" w:customStyle="1" w:styleId="40">
    <w:name w:val="Char Char Char Char Char Char Char Char Char Char Char Char Char"/>
    <w:basedOn w:val="0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paragraph" w:customStyle="1" w:styleId="41">
    <w:name w:val="Char1"/>
    <w:basedOn w:val="0"/>
    <w:rPr>
      <w:rFonts w:ascii="宋体" w:cs="Courier New"/>
      <w:sz w:val="32"/>
      <w:szCs w:val="32"/>
    </w:rPr>
  </w:style>
  <w:style w:type="paragraph" w:customStyle="1" w:styleId="42">
    <w:name w:val="Char"/>
    <w:basedOn w:val="0"/>
    <w:rPr>
      <w:rFonts w:ascii="Tahoma" w:hAnsi="Tahoma"/>
      <w:sz w:val="24"/>
      <w:szCs w:val="24"/>
    </w:rPr>
  </w:style>
  <w:style w:type="paragraph" w:customStyle="1" w:styleId="43">
    <w:name w:val="Char2"/>
    <w:basedOn w:val="0"/>
    <w:rPr>
      <w:rFonts w:ascii="Tahoma" w:hAnsi="Tahoma"/>
      <w:sz w:val="24"/>
      <w:szCs w:val="24"/>
    </w:rPr>
  </w:style>
  <w:style w:type="paragraph" w:customStyle="1" w:styleId="44">
    <w:name w:val="msonormalcxspmiddle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45">
    <w:name w:val="Char Char Char"/>
    <w:basedOn w:val="0"/>
    <w:pPr>
      <w:widowControl/>
      <w:spacing w:after="160" w:line="240" w:lineRule="exact"/>
      <w:jc w:val="left"/>
    </w:pPr>
    <w:rPr>
      <w:rFonts w:ascii="Arial" w:eastAsia="Times New Roman" w:cs="Verdana" w:hAnsi="Arial"/>
      <w:b/>
      <w:kern w:val="0"/>
      <w:sz w:val="24"/>
    </w:rPr>
  </w:style>
  <w:style w:type="paragraph" w:customStyle="1" w:styleId="46">
    <w:name w:val="脚注文本1"/>
    <w:basedOn w:val="0"/>
    <w:pPr>
      <w:snapToGrid w:val="0"/>
      <w:jc w:val="left"/>
    </w:pPr>
    <w:rPr>
      <w:rFonts w:ascii="Calibri" w:hAnsi="Calibri"/>
      <w:sz w:val="18"/>
    </w:rPr>
  </w:style>
  <w:style w:type="paragraph" w:customStyle="1" w:styleId="47">
    <w:name w:val="修订1"/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48">
    <w:name w:val="Char Char2 Char Char Char Char Char Char Char Char Char Char Char Char Char Char Char Char Char Char Char"/>
    <w:basedOn w:val="0"/>
    <w:pPr>
      <w:spacing w:line="360" w:lineRule="auto"/>
    </w:pPr>
    <w:rPr>
      <w:rFonts w:ascii="Tahoma" w:hAnsi="Tahoma"/>
      <w:sz w:val="28"/>
    </w:rPr>
  </w:style>
  <w:style w:type="character" w:customStyle="1" w:styleId="49">
    <w:name w:val="apple-style-span"/>
    <w:basedOn w:val="10"/>
  </w:style>
  <w:style w:type="character" w:customStyle="1" w:styleId="50">
    <w:name w:val="脚注引用1"/>
    <w:rPr>
      <w:vertAlign w:val="superscript"/>
    </w:rPr>
  </w:style>
  <w:style w:type="character" w:customStyle="1" w:styleId="51">
    <w:name w:val="hangju"/>
    <w:basedOn w:val="10"/>
  </w:style>
  <w:style w:type="character" w:customStyle="1" w:styleId="52">
    <w:name w:val="fontstyle01"/>
    <w:rPr>
      <w:rFonts w:asci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224</TotalTime>
  <Application>Yozo_Office27021597764231179</Application>
  <Pages>1</Pages>
  <Words>322</Words>
  <Characters>336</Characters>
  <Lines>20</Lines>
  <Paragraphs>6</Paragraphs>
  <CharactersWithSpaces>351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国家医保局上报信息</dc:title>
  <dc:creator>ibm</dc:creator>
  <cp:lastModifiedBy>DELL</cp:lastModifiedBy>
  <cp:revision>22</cp:revision>
  <cp:lastPrinted>2024-07-29T01:44:16Z</cp:lastPrinted>
  <dcterms:created xsi:type="dcterms:W3CDTF">2020-11-13T14:49:00Z</dcterms:created>
  <dcterms:modified xsi:type="dcterms:W3CDTF">2024-07-29T02:05:29Z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2052-9.1.0.4940</vt:lpwstr>
  </property>
</Properties>
</file>