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pPr>
    </w:p>
    <w:p>
      <w:pPr>
        <w:pStyle w:val="16"/>
      </w:pPr>
    </w:p>
    <w:p>
      <w:pPr>
        <w:pStyle w:val="16"/>
        <w:rPr>
          <w:rFonts w:hint="eastAsia"/>
        </w:rPr>
      </w:pPr>
    </w:p>
    <w:p>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sz w:val="32"/>
          <w:szCs w:val="32"/>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eastAsia="方正小标宋简体" w:cs="方正小标宋简体"/>
          <w:bCs/>
          <w:kern w:val="0"/>
          <w:sz w:val="44"/>
          <w:szCs w:val="44"/>
        </w:rPr>
      </w:pPr>
      <w:r>
        <w:rPr>
          <w:rFonts w:ascii="方正小标宋简体" w:eastAsia="方正小标宋简体" w:cs="方正小标宋简体" w:hint="eastAsia"/>
          <w:bCs/>
          <w:kern w:val="0"/>
          <w:sz w:val="44"/>
          <w:szCs w:val="44"/>
        </w:rPr>
        <w:t>秦皇岛市医疗保障局</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eastAsia="方正小标宋简体" w:cs="方正小标宋简体"/>
          <w:bCs/>
          <w:kern w:val="0"/>
          <w:sz w:val="44"/>
          <w:szCs w:val="44"/>
        </w:rPr>
      </w:pPr>
      <w:r>
        <w:rPr>
          <w:rFonts w:ascii="方正小标宋简体" w:eastAsia="方正小标宋简体" w:cs="方正小标宋简体" w:hint="eastAsia"/>
          <w:bCs/>
          <w:kern w:val="0"/>
          <w:sz w:val="44"/>
          <w:szCs w:val="44"/>
        </w:rPr>
        <w:t>关于印发《202</w:t>
      </w:r>
      <w:r>
        <w:rPr>
          <w:rFonts w:ascii="方正小标宋简体" w:eastAsia="方正小标宋简体" w:cs="方正小标宋简体"/>
          <w:bCs/>
          <w:kern w:val="0"/>
          <w:sz w:val="44"/>
          <w:szCs w:val="44"/>
        </w:rPr>
        <w:t>4年度</w:t>
      </w:r>
      <w:r>
        <w:rPr>
          <w:rFonts w:ascii="方正小标宋简体" w:eastAsia="方正小标宋简体" w:cs="方正小标宋简体" w:hint="eastAsia"/>
          <w:bCs/>
          <w:kern w:val="0"/>
          <w:sz w:val="44"/>
          <w:szCs w:val="44"/>
        </w:rPr>
        <w:t>“双随机、一公开”监管工作实施方案》的通知</w:t>
      </w:r>
    </w:p>
    <w:p>
      <w:pPr>
        <w:widowControl/>
        <w:spacing w:line="700" w:lineRule="exact"/>
        <w:jc w:val="left"/>
        <w:rPr>
          <w:rFonts w:cs="Times New Roman"/>
          <w:kern w:val="0"/>
          <w:sz w:val="24"/>
          <w:szCs w:val="24"/>
        </w:rPr>
      </w:pPr>
      <w:r>
        <w:rPr>
          <w:rFonts w:ascii="宋体" w:cs="宋体" w:hint="eastAsia"/>
          <w:kern w:val="0"/>
          <w:sz w:val="43"/>
          <w:szCs w:val="43"/>
        </w:rPr>
        <w:t> </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Times New Roman" w:eastAsia="楷体" w:cs="Times New Roman" w:hAnsi="Times New Roman"/>
          <w:kern w:val="0"/>
          <w:sz w:val="32"/>
          <w:szCs w:val="32"/>
        </w:rPr>
      </w:pPr>
      <w:r>
        <w:rPr>
          <w:rFonts w:ascii="Times New Roman" w:eastAsia="楷体" w:cs="Times New Roman" w:hAnsi="Times New Roman"/>
          <w:kern w:val="0"/>
          <w:sz w:val="32"/>
          <w:szCs w:val="32"/>
        </w:rPr>
        <w:t>局相关科室，市医保中心：</w:t>
      </w:r>
    </w:p>
    <w:p>
      <w:pPr>
        <w:keepNext w:val="0"/>
        <w:keepLines w:val="0"/>
        <w:pageBreakBefore w:val="0"/>
        <w:widowControl/>
        <w:kinsoku/>
        <w:wordWrap/>
        <w:overflowPunct/>
        <w:topLinePunct w:val="0"/>
        <w:autoSpaceDE w:val="0"/>
        <w:autoSpaceDN/>
        <w:bidi w:val="0"/>
        <w:adjustRightInd/>
        <w:snapToGrid/>
        <w:spacing w:line="560" w:lineRule="exact"/>
        <w:ind w:firstLine="645"/>
        <w:jc w:val="left"/>
        <w:textAlignment w:val="auto"/>
        <w:rPr>
          <w:rFonts w:ascii="Times New Roman" w:eastAsia="楷体" w:cs="Times New Roman" w:hAnsi="Times New Roman"/>
          <w:kern w:val="0"/>
          <w:sz w:val="32"/>
          <w:szCs w:val="32"/>
        </w:rPr>
      </w:pPr>
      <w:r>
        <w:rPr>
          <w:rFonts w:ascii="Times New Roman" w:eastAsia="楷体" w:cs="Times New Roman" w:hAnsi="Times New Roman"/>
          <w:kern w:val="0"/>
          <w:sz w:val="32"/>
          <w:szCs w:val="32"/>
        </w:rPr>
        <w:t>现将《2024年度“双随机、一公开”监管工作实施方案》印发给你们，请结合工作实际，认真组织实施。</w:t>
      </w:r>
    </w:p>
    <w:p>
      <w:pPr>
        <w:keepNext w:val="0"/>
        <w:keepLines w:val="0"/>
        <w:pageBreakBefore w:val="0"/>
        <w:widowControl/>
        <w:kinsoku/>
        <w:wordWrap/>
        <w:overflowPunct/>
        <w:topLinePunct w:val="0"/>
        <w:autoSpaceDE w:val="0"/>
        <w:autoSpaceDN/>
        <w:bidi w:val="0"/>
        <w:adjustRightInd/>
        <w:snapToGrid/>
        <w:spacing w:line="560" w:lineRule="exact"/>
        <w:ind w:firstLine="645"/>
        <w:jc w:val="left"/>
        <w:textAlignment w:val="auto"/>
        <w:rPr>
          <w:rFonts w:ascii="Times New Roman" w:eastAsia="楷体" w:cs="Times New Roman" w:hAnsi="Times New Roman"/>
          <w:kern w:val="0"/>
          <w:sz w:val="32"/>
          <w:szCs w:val="32"/>
        </w:rPr>
      </w:pPr>
      <w:r>
        <w:rPr>
          <w:rFonts w:ascii="Times New Roman" w:eastAsia="楷体" w:cs="Times New Roman" w:hAnsi="Times New Roman"/>
          <w:kern w:val="0"/>
          <w:sz w:val="32"/>
          <w:szCs w:val="32"/>
        </w:rPr>
        <w:t> </w:t>
      </w:r>
    </w:p>
    <w:p>
      <w:pPr>
        <w:keepNext w:val="0"/>
        <w:keepLines w:val="0"/>
        <w:pageBreakBefore w:val="0"/>
        <w:widowControl/>
        <w:kinsoku/>
        <w:wordWrap/>
        <w:overflowPunct/>
        <w:topLinePunct w:val="0"/>
        <w:autoSpaceDE w:val="0"/>
        <w:autoSpaceDN/>
        <w:bidi w:val="0"/>
        <w:adjustRightInd/>
        <w:snapToGrid/>
        <w:spacing w:line="560" w:lineRule="exact"/>
        <w:ind w:firstLine="645"/>
        <w:jc w:val="left"/>
        <w:textAlignment w:val="auto"/>
        <w:rPr>
          <w:rFonts w:ascii="Times New Roman" w:eastAsia="楷体" w:cs="Times New Roman" w:hAnsi="Times New Roman"/>
          <w:kern w:val="0"/>
          <w:sz w:val="32"/>
          <w:szCs w:val="32"/>
        </w:rPr>
      </w:pPr>
      <w:r>
        <w:rPr>
          <w:rFonts w:ascii="Times New Roman" w:eastAsia="楷体" w:cs="Times New Roman" w:hAnsi="Times New Roman"/>
          <w:kern w:val="0"/>
          <w:sz w:val="32"/>
          <w:szCs w:val="32"/>
        </w:rPr>
        <w:t> </w:t>
      </w:r>
    </w:p>
    <w:p>
      <w:pPr>
        <w:keepNext w:val="0"/>
        <w:keepLines w:val="0"/>
        <w:pageBreakBefore w:val="0"/>
        <w:widowControl/>
        <w:kinsoku/>
        <w:wordWrap/>
        <w:overflowPunct/>
        <w:topLinePunct w:val="0"/>
        <w:autoSpaceDE w:val="0"/>
        <w:autoSpaceDN/>
        <w:bidi w:val="0"/>
        <w:adjustRightInd/>
        <w:snapToGrid/>
        <w:spacing w:line="560" w:lineRule="exact"/>
        <w:ind w:firstLineChars="1708" w:firstLine="5466"/>
        <w:jc w:val="left"/>
        <w:textAlignment w:val="auto"/>
        <w:rPr>
          <w:rFonts w:ascii="Times New Roman" w:eastAsia="楷体" w:cs="Times New Roman" w:hAnsi="Times New Roman"/>
          <w:kern w:val="0"/>
          <w:sz w:val="32"/>
          <w:szCs w:val="32"/>
        </w:rPr>
      </w:pPr>
      <w:r>
        <w:rPr>
          <w:rFonts w:ascii="Times New Roman" w:eastAsia="楷体" w:cs="Times New Roman" w:hAnsi="Times New Roman"/>
          <w:kern w:val="0"/>
          <w:sz w:val="32"/>
          <w:szCs w:val="32"/>
        </w:rPr>
        <w:t xml:space="preserve">秦皇岛市医疗保障局    </w:t>
      </w:r>
    </w:p>
    <w:p>
      <w:pPr>
        <w:keepNext w:val="0"/>
        <w:keepLines w:val="0"/>
        <w:pageBreakBefore w:val="0"/>
        <w:widowControl/>
        <w:kinsoku/>
        <w:wordWrap/>
        <w:overflowPunct/>
        <w:topLinePunct w:val="0"/>
        <w:autoSpaceDN/>
        <w:bidi w:val="0"/>
        <w:adjustRightInd/>
        <w:snapToGrid/>
        <w:spacing w:line="560" w:lineRule="exact"/>
        <w:ind w:right="640" w:firstLineChars="1801" w:firstLine="5763"/>
        <w:textAlignment w:val="auto"/>
        <w:rPr>
          <w:rFonts w:ascii="Times New Roman" w:eastAsia="楷体" w:cs="Times New Roman" w:hAnsi="Times New Roman"/>
          <w:kern w:val="0"/>
          <w:sz w:val="32"/>
          <w:szCs w:val="32"/>
        </w:rPr>
      </w:pPr>
      <w:r>
        <w:rPr>
          <w:rFonts w:ascii="Times New Roman" w:eastAsia="楷体" w:cs="Times New Roman" w:hAnsi="Times New Roman"/>
          <w:kern w:val="0"/>
          <w:sz w:val="32"/>
          <w:szCs w:val="32"/>
        </w:rPr>
        <w:t>2024年6月5日</w:t>
      </w:r>
    </w:p>
    <w:p>
      <w:pPr>
        <w:keepNext w:val="0"/>
        <w:keepLines w:val="0"/>
        <w:pageBreakBefore w:val="0"/>
        <w:widowControl/>
        <w:kinsoku/>
        <w:wordWrap/>
        <w:overflowPunct/>
        <w:topLinePunct w:val="0"/>
        <w:autoSpaceDN/>
        <w:bidi w:val="0"/>
        <w:adjustRightInd/>
        <w:snapToGrid/>
        <w:spacing w:line="560" w:lineRule="exact"/>
        <w:ind w:right="640" w:firstLine="4485"/>
        <w:jc w:val="right"/>
        <w:textAlignment w:val="auto"/>
        <w:rPr>
          <w:rFonts w:ascii="Times New Roman" w:eastAsia="楷体" w:cs="Times New Roman" w:hAnsi="Times New Roman"/>
          <w:kern w:val="0"/>
          <w:sz w:val="32"/>
          <w:szCs w:val="32"/>
        </w:rPr>
      </w:pPr>
    </w:p>
    <w:p>
      <w:pPr>
        <w:keepNext w:val="0"/>
        <w:keepLines w:val="0"/>
        <w:pageBreakBefore w:val="0"/>
        <w:widowControl/>
        <w:kinsoku/>
        <w:wordWrap/>
        <w:overflowPunct/>
        <w:topLinePunct w:val="0"/>
        <w:autoSpaceDN/>
        <w:bidi w:val="0"/>
        <w:adjustRightInd/>
        <w:snapToGrid/>
        <w:spacing w:line="560" w:lineRule="exact"/>
        <w:ind w:right="640" w:firstLine="4485"/>
        <w:jc w:val="right"/>
        <w:textAlignment w:val="auto"/>
        <w:rPr>
          <w:rFonts w:ascii="Times New Roman" w:eastAsia="楷体" w:cs="Times New Roman" w:hAnsi="Times New Roman"/>
          <w:kern w:val="0"/>
          <w:sz w:val="32"/>
          <w:szCs w:val="32"/>
        </w:rPr>
      </w:pPr>
    </w:p>
    <w:p>
      <w:pPr>
        <w:keepNext w:val="0"/>
        <w:keepLines w:val="0"/>
        <w:pageBreakBefore w:val="0"/>
        <w:widowControl/>
        <w:kinsoku/>
        <w:wordWrap/>
        <w:overflowPunct/>
        <w:topLinePunct w:val="0"/>
        <w:autoSpaceDN/>
        <w:bidi w:val="0"/>
        <w:adjustRightInd/>
        <w:snapToGrid/>
        <w:spacing w:line="560" w:lineRule="exact"/>
        <w:ind w:right="640" w:firstLine="4485"/>
        <w:jc w:val="right"/>
        <w:textAlignment w:val="auto"/>
        <w:rPr>
          <w:rFonts w:ascii="Times New Roman" w:eastAsia="楷体" w:cs="Times New Roman" w:hAnsi="Times New Roman"/>
          <w:kern w:val="0"/>
          <w:sz w:val="32"/>
          <w:szCs w:val="32"/>
        </w:rPr>
      </w:pPr>
    </w:p>
    <w:p>
      <w:pPr>
        <w:keepNext w:val="0"/>
        <w:keepLines w:val="0"/>
        <w:pageBreakBefore w:val="0"/>
        <w:widowControl/>
        <w:kinsoku/>
        <w:wordWrap/>
        <w:overflowPunct/>
        <w:topLinePunct w:val="0"/>
        <w:autoSpaceDN/>
        <w:bidi w:val="0"/>
        <w:adjustRightInd/>
        <w:snapToGrid/>
        <w:spacing w:line="560" w:lineRule="exact"/>
        <w:ind w:right="640" w:firstLine="4485"/>
        <w:jc w:val="right"/>
        <w:textAlignment w:val="auto"/>
        <w:rPr>
          <w:rFonts w:ascii="Times New Roman" w:eastAsia="楷体" w:cs="Times New Roman" w:hAnsi="Times New Roman"/>
          <w:kern w:val="0"/>
          <w:sz w:val="32"/>
          <w:szCs w:val="32"/>
        </w:rPr>
      </w:pPr>
    </w:p>
    <w:p>
      <w:pPr>
        <w:keepNext w:val="0"/>
        <w:keepLines w:val="0"/>
        <w:pageBreakBefore w:val="0"/>
        <w:widowControl/>
        <w:kinsoku/>
        <w:wordWrap/>
        <w:overflowPunct/>
        <w:topLinePunct w:val="0"/>
        <w:autoSpaceDN/>
        <w:bidi w:val="0"/>
        <w:adjustRightInd/>
        <w:snapToGrid/>
        <w:spacing w:line="560" w:lineRule="exact"/>
        <w:ind w:right="640" w:firstLine="4485"/>
        <w:jc w:val="right"/>
        <w:textAlignment w:val="auto"/>
        <w:rPr>
          <w:rFonts w:ascii="Times New Roman" w:eastAsia="楷体" w:cs="Times New Roman" w:hAnsi="Times New Roman"/>
          <w:kern w:val="0"/>
          <w:sz w:val="32"/>
          <w:szCs w:val="32"/>
        </w:rPr>
      </w:pPr>
    </w:p>
    <w:p>
      <w:pPr>
        <w:keepNext w:val="0"/>
        <w:keepLines w:val="0"/>
        <w:pageBreakBefore w:val="0"/>
        <w:widowControl/>
        <w:kinsoku/>
        <w:wordWrap/>
        <w:overflowPunct/>
        <w:topLinePunct w:val="0"/>
        <w:autoSpaceDN/>
        <w:bidi w:val="0"/>
        <w:adjustRightInd/>
        <w:snapToGrid/>
        <w:spacing w:line="560" w:lineRule="exact"/>
        <w:ind w:right="640" w:firstLine="4485"/>
        <w:jc w:val="right"/>
        <w:textAlignment w:val="auto"/>
        <w:rPr>
          <w:rFonts w:ascii="Times New Roman" w:eastAsia="楷体" w:cs="Times New Roman" w:hAnsi="Times New Roman"/>
          <w:kern w:val="0"/>
          <w:sz w:val="32"/>
          <w:szCs w:val="32"/>
        </w:rPr>
      </w:pPr>
    </w:p>
    <w:p>
      <w:pPr>
        <w:keepNext w:val="0"/>
        <w:keepLines w:val="0"/>
        <w:pageBreakBefore w:val="0"/>
        <w:widowControl/>
        <w:kinsoku/>
        <w:wordWrap/>
        <w:overflowPunct/>
        <w:topLinePunct w:val="0"/>
        <w:autoSpaceDN/>
        <w:bidi w:val="0"/>
        <w:adjustRightInd/>
        <w:snapToGrid/>
        <w:spacing w:line="560" w:lineRule="exact"/>
        <w:ind w:right="640" w:firstLine="4485"/>
        <w:jc w:val="right"/>
        <w:textAlignment w:val="auto"/>
        <w:rPr>
          <w:rFonts w:eastAsia="仿宋" w:cs="Times New Roman"/>
          <w:kern w:val="0"/>
          <w:sz w:val="24"/>
          <w:szCs w:val="24"/>
        </w:rPr>
      </w:pPr>
      <w:r>
        <w:rPr>
          <w:rFonts w:ascii="Times New Roman" w:eastAsia="楷体" w:cs="Times New Roman" w:hAnsi="Times New Roman"/>
          <w:kern w:val="0"/>
          <w:sz w:val="32"/>
          <w:szCs w:val="32"/>
        </w:rPr>
        <w:t xml:space="preserve"> </w:t>
      </w:r>
    </w:p>
    <w:p>
      <w:pPr>
        <w:widowControl/>
        <w:spacing w:line="600" w:lineRule="exact"/>
        <w:jc w:val="center"/>
        <w:rPr>
          <w:rFonts w:ascii="宋体" w:cs="宋体"/>
          <w:b/>
          <w:kern w:val="0"/>
          <w:sz w:val="43"/>
          <w:szCs w:val="43"/>
        </w:rPr>
      </w:pPr>
    </w:p>
    <w:p>
      <w:pPr>
        <w:widowControl/>
        <w:autoSpaceDE w:val="0"/>
        <w:spacing w:line="700" w:lineRule="exact"/>
        <w:jc w:val="center"/>
        <w:rPr>
          <w:rFonts w:ascii="方正小标宋简体" w:eastAsia="方正小标宋简体" w:cs="方正小标宋简体"/>
          <w:bCs/>
          <w:kern w:val="0"/>
          <w:sz w:val="44"/>
          <w:szCs w:val="44"/>
        </w:rPr>
      </w:pPr>
      <w:r>
        <w:rPr>
          <w:rFonts w:ascii="方正小标宋简体" w:eastAsia="方正小标宋简体" w:cs="方正小标宋简体"/>
          <w:bCs/>
          <w:kern w:val="0"/>
          <w:sz w:val="44"/>
          <w:szCs w:val="44"/>
        </w:rPr>
        <w:t>秦皇岛市医疗保障局</w:t>
      </w:r>
    </w:p>
    <w:p>
      <w:pPr>
        <w:widowControl/>
        <w:autoSpaceDE w:val="0"/>
        <w:spacing w:line="700" w:lineRule="exact"/>
        <w:jc w:val="center"/>
        <w:rPr>
          <w:rFonts w:ascii="方正小标宋简体" w:eastAsia="方正小标宋简体" w:cs="方正小标宋简体"/>
          <w:bCs/>
          <w:kern w:val="0"/>
          <w:sz w:val="44"/>
          <w:szCs w:val="44"/>
        </w:rPr>
      </w:pPr>
      <w:r>
        <w:rPr>
          <w:rFonts w:ascii="方正小标宋简体" w:eastAsia="方正小标宋简体" w:cs="方正小标宋简体" w:hint="eastAsia"/>
          <w:bCs/>
          <w:kern w:val="0"/>
          <w:sz w:val="44"/>
          <w:szCs w:val="44"/>
        </w:rPr>
        <w:t>202</w:t>
      </w:r>
      <w:r>
        <w:rPr>
          <w:rFonts w:ascii="方正小标宋简体" w:eastAsia="方正小标宋简体" w:cs="方正小标宋简体"/>
          <w:bCs/>
          <w:kern w:val="0"/>
          <w:sz w:val="44"/>
          <w:szCs w:val="44"/>
        </w:rPr>
        <w:t>4</w:t>
      </w:r>
      <w:r>
        <w:rPr>
          <w:rFonts w:ascii="方正小标宋简体" w:eastAsia="方正小标宋简体" w:cs="方正小标宋简体" w:hint="eastAsia"/>
          <w:bCs/>
          <w:kern w:val="0"/>
          <w:sz w:val="44"/>
          <w:szCs w:val="44"/>
        </w:rPr>
        <w:t>年</w:t>
      </w:r>
      <w:r>
        <w:rPr>
          <w:rFonts w:ascii="方正小标宋简体" w:eastAsia="方正小标宋简体" w:cs="方正小标宋简体"/>
          <w:bCs/>
          <w:kern w:val="0"/>
          <w:sz w:val="44"/>
          <w:szCs w:val="44"/>
        </w:rPr>
        <w:t>度</w:t>
      </w:r>
      <w:r>
        <w:rPr>
          <w:rFonts w:ascii="方正小标宋简体" w:eastAsia="方正小标宋简体" w:cs="方正小标宋简体" w:hint="eastAsia"/>
          <w:bCs/>
          <w:kern w:val="0"/>
          <w:sz w:val="44"/>
          <w:szCs w:val="44"/>
        </w:rPr>
        <w:t>“双随机、一公开”监管工作</w:t>
      </w:r>
    </w:p>
    <w:p>
      <w:pPr>
        <w:widowControl/>
        <w:autoSpaceDE w:val="0"/>
        <w:spacing w:line="700" w:lineRule="exact"/>
        <w:jc w:val="center"/>
        <w:rPr>
          <w:rFonts w:ascii="方正小标宋简体" w:eastAsia="方正小标宋简体" w:cs="方正小标宋简体"/>
          <w:bCs/>
          <w:kern w:val="0"/>
          <w:sz w:val="44"/>
          <w:szCs w:val="44"/>
        </w:rPr>
      </w:pPr>
      <w:r>
        <w:rPr>
          <w:rFonts w:ascii="方正小标宋简体" w:eastAsia="方正小标宋简体" w:cs="方正小标宋简体" w:hint="eastAsia"/>
          <w:bCs/>
          <w:kern w:val="0"/>
          <w:sz w:val="44"/>
          <w:szCs w:val="44"/>
        </w:rPr>
        <w:t>实施方案</w:t>
      </w:r>
    </w:p>
    <w:p>
      <w:pPr>
        <w:keepNext w:val="0"/>
        <w:keepLines w:val="0"/>
        <w:pageBreakBefore w:val="0"/>
        <w:widowControl w:val="0"/>
        <w:kinsoku/>
        <w:wordWrap/>
        <w:overflowPunct/>
        <w:topLinePunct w:val="0"/>
        <w:autoSpaceDE/>
        <w:autoSpaceDN/>
        <w:bidi w:val="0"/>
        <w:adjustRightInd/>
        <w:snapToGrid/>
        <w:spacing w:beforeLines="100" w:before="312" w:line="560" w:lineRule="exact"/>
        <w:ind w:firstLineChars="200" w:firstLine="640"/>
        <w:jc w:val="both"/>
        <w:textAlignment w:val="auto"/>
        <w:outlineLvl w:val="9"/>
        <w:rPr>
          <w:rFonts w:ascii="仿宋_GB2312" w:eastAsia="仿宋_GB2312" w:cs="仿宋_GB2312" w:hint="eastAsia"/>
          <w:color w:val="000000"/>
          <w:sz w:val="32"/>
          <w:szCs w:val="32"/>
          <w:shd w:val="clear" w:color="auto" w:fill="FFFFFF"/>
        </w:rPr>
      </w:pPr>
      <w:r>
        <w:rPr>
          <w:rFonts w:ascii="仿宋_GB2312" w:eastAsia="仿宋_GB2312" w:cs="仿宋_GB2312"/>
          <w:color w:val="000000"/>
          <w:sz w:val="32"/>
          <w:szCs w:val="32"/>
          <w:shd w:val="clear" w:color="auto" w:fill="FFFFFF"/>
        </w:rPr>
        <w:t>根据</w:t>
      </w:r>
      <w:r>
        <w:rPr>
          <w:rFonts w:ascii="仿宋_GB2312" w:eastAsia="仿宋_GB2312" w:cs="仿宋_GB2312" w:hint="eastAsia"/>
          <w:color w:val="000000"/>
          <w:sz w:val="32"/>
          <w:szCs w:val="32"/>
          <w:shd w:val="clear" w:color="auto" w:fill="FFFFFF"/>
        </w:rPr>
        <w:t>《</w:t>
      </w:r>
      <w:r>
        <w:rPr>
          <w:rFonts w:ascii="仿宋_GB2312" w:eastAsia="仿宋_GB2312" w:cs="仿宋_GB2312" w:hint="eastAsia"/>
          <w:snapToGrid w:val="0"/>
          <w:color w:val="000000"/>
          <w:sz w:val="32"/>
          <w:szCs w:val="32"/>
          <w:lang w:eastAsia="zh-CN"/>
        </w:rPr>
        <w:t>秦皇岛市</w:t>
      </w:r>
      <w:r>
        <w:rPr>
          <w:rFonts w:ascii="仿宋_GB2312" w:eastAsia="仿宋_GB2312" w:cs="仿宋_GB2312" w:hint="eastAsia"/>
          <w:snapToGrid w:val="0"/>
          <w:color w:val="000000"/>
          <w:sz w:val="32"/>
          <w:szCs w:val="32"/>
        </w:rPr>
        <w:t>“双随机、一公开”</w:t>
      </w:r>
      <w:r>
        <w:rPr>
          <w:rFonts w:ascii="仿宋_GB2312" w:eastAsia="仿宋_GB2312" w:cs="仿宋_GB2312" w:hint="eastAsia"/>
          <w:color w:val="000000"/>
          <w:sz w:val="32"/>
          <w:szCs w:val="32"/>
        </w:rPr>
        <w:t>监管改革领导小组办公室关于印发＜</w:t>
      </w:r>
      <w:r>
        <w:rPr>
          <w:rFonts w:ascii="仿宋_GB2312" w:eastAsia="仿宋_GB2312" w:cs="仿宋_GB2312" w:hint="eastAsia"/>
          <w:color w:val="000000"/>
          <w:sz w:val="32"/>
          <w:szCs w:val="32"/>
          <w:shd w:val="clear" w:color="auto" w:fill="FFFFFF"/>
          <w:lang w:eastAsia="zh-CN"/>
        </w:rPr>
        <w:t>202</w:t>
      </w:r>
      <w:r>
        <w:rPr>
          <w:rFonts w:ascii="仿宋_GB2312" w:eastAsia="仿宋_GB2312" w:cs="仿宋_GB2312" w:hint="eastAsia"/>
          <w:color w:val="000000"/>
          <w:sz w:val="32"/>
          <w:szCs w:val="32"/>
          <w:shd w:val="clear" w:color="auto" w:fill="FFFFFF"/>
          <w:lang w:val="en-US" w:eastAsia="zh-CN"/>
        </w:rPr>
        <w:t>4</w:t>
      </w:r>
      <w:r>
        <w:rPr>
          <w:rFonts w:ascii="仿宋_GB2312" w:eastAsia="仿宋_GB2312" w:cs="仿宋_GB2312" w:hint="eastAsia"/>
          <w:color w:val="000000"/>
          <w:sz w:val="32"/>
          <w:szCs w:val="32"/>
          <w:shd w:val="clear" w:color="auto" w:fill="FFFFFF"/>
          <w:lang w:eastAsia="zh-CN"/>
        </w:rPr>
        <w:t>年秦皇岛市“双随机、一公开”监管工作实施方案＞</w:t>
      </w:r>
      <w:r>
        <w:rPr>
          <w:rFonts w:ascii="仿宋_GB2312" w:eastAsia="仿宋_GB2312" w:cs="仿宋_GB2312" w:hint="eastAsia"/>
          <w:color w:val="000000"/>
          <w:sz w:val="32"/>
          <w:szCs w:val="32"/>
          <w:shd w:val="clear" w:color="auto" w:fill="FFFFFF"/>
        </w:rPr>
        <w:t>》秦双随机办〔2024〕1号文件的要求，进一步加强事中事后监管，规范</w:t>
      </w:r>
      <w:r>
        <w:rPr>
          <w:rFonts w:ascii="仿宋_GB2312" w:eastAsia="仿宋_GB2312" w:cs="仿宋_GB2312" w:hint="eastAsia"/>
          <w:color w:val="000000"/>
          <w:sz w:val="32"/>
          <w:szCs w:val="32"/>
          <w:shd w:val="clear" w:color="auto" w:fill="FFFFFF"/>
          <w:lang w:eastAsia="zh-CN"/>
        </w:rPr>
        <w:t>对定点</w:t>
      </w:r>
      <w:r>
        <w:rPr>
          <w:rFonts w:ascii="仿宋_GB2312" w:eastAsia="仿宋_GB2312" w:cs="仿宋_GB2312" w:hint="eastAsia"/>
          <w:color w:val="000000"/>
          <w:sz w:val="32"/>
          <w:szCs w:val="32"/>
          <w:shd w:val="clear" w:color="auto" w:fill="FFFFFF"/>
        </w:rPr>
        <w:t>医药机构</w:t>
      </w:r>
      <w:r>
        <w:rPr>
          <w:rFonts w:ascii="仿宋_GB2312" w:eastAsia="仿宋_GB2312" w:cs="仿宋_GB2312" w:hint="eastAsia"/>
          <w:color w:val="000000"/>
          <w:sz w:val="32"/>
          <w:szCs w:val="32"/>
          <w:shd w:val="clear" w:color="auto" w:fill="FFFFFF"/>
          <w:lang w:eastAsia="zh-CN"/>
        </w:rPr>
        <w:t>的</w:t>
      </w:r>
      <w:r>
        <w:rPr>
          <w:rFonts w:ascii="仿宋_GB2312" w:eastAsia="仿宋_GB2312" w:cs="仿宋_GB2312" w:hint="eastAsia"/>
          <w:color w:val="000000"/>
          <w:sz w:val="32"/>
          <w:szCs w:val="32"/>
          <w:shd w:val="clear" w:color="auto" w:fill="FFFFFF"/>
        </w:rPr>
        <w:t>监管行为，推进我</w:t>
      </w:r>
      <w:r>
        <w:rPr>
          <w:rFonts w:ascii="仿宋_GB2312" w:eastAsia="仿宋_GB2312" w:cs="仿宋_GB2312" w:hint="eastAsia"/>
          <w:color w:val="000000"/>
          <w:sz w:val="32"/>
          <w:szCs w:val="32"/>
          <w:shd w:val="clear" w:color="auto" w:fill="FFFFFF"/>
          <w:lang w:eastAsia="zh-CN"/>
        </w:rPr>
        <w:t>市</w:t>
      </w:r>
      <w:r>
        <w:rPr>
          <w:rFonts w:ascii="仿宋_GB2312" w:eastAsia="仿宋_GB2312" w:cs="仿宋_GB2312" w:hint="eastAsia"/>
          <w:color w:val="000000"/>
          <w:sz w:val="32"/>
          <w:szCs w:val="32"/>
          <w:shd w:val="clear" w:color="auto" w:fill="FFFFFF"/>
        </w:rPr>
        <w:t>医疗保障随机抽查工作，结合我局实际，制定本方案。</w:t>
      </w:r>
    </w:p>
    <w:p>
      <w:pPr>
        <w:widowControl/>
        <w:autoSpaceDE w:val="0"/>
        <w:spacing w:line="560" w:lineRule="exact"/>
        <w:ind w:firstLine="645"/>
        <w:rPr>
          <w:rFonts w:ascii="黑体" w:eastAsia="黑体" w:cs="黑体" w:hint="eastAsia"/>
          <w:kern w:val="0"/>
          <w:sz w:val="32"/>
          <w:szCs w:val="32"/>
        </w:rPr>
      </w:pPr>
      <w:r>
        <w:rPr>
          <w:rFonts w:ascii="黑体" w:eastAsia="黑体" w:cs="黑体" w:hint="eastAsia"/>
          <w:kern w:val="0"/>
          <w:sz w:val="32"/>
          <w:szCs w:val="32"/>
        </w:rPr>
        <w:t>一、总体要求</w:t>
      </w:r>
    </w:p>
    <w:p>
      <w:pPr>
        <w:pStyle w:val="21"/>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lang w:eastAsia="zh-CN"/>
        </w:rPr>
        <w:t>为深入贯彻落实</w:t>
      </w:r>
      <w:r>
        <w:rPr>
          <w:rFonts w:ascii="仿宋_GB2312" w:eastAsia="仿宋_GB2312" w:cs="仿宋_GB2312" w:hint="eastAsia"/>
          <w:color w:val="333333"/>
          <w:sz w:val="32"/>
          <w:szCs w:val="32"/>
          <w:shd w:val="clear" w:color="auto" w:fill="FFFFFF"/>
        </w:rPr>
        <w:t>国务院、省委省政府和市委市政府的决策部署要求，持续强化</w:t>
      </w:r>
      <w:r>
        <w:rPr>
          <w:rFonts w:ascii="仿宋_GB2312" w:eastAsia="仿宋_GB2312" w:cs="仿宋_GB2312" w:hint="eastAsia"/>
          <w:color w:val="000000"/>
          <w:sz w:val="32"/>
          <w:szCs w:val="32"/>
          <w:shd w:val="clear" w:color="auto" w:fill="FFFFFF"/>
          <w:lang w:eastAsia="zh-CN"/>
        </w:rPr>
        <w:t>“双随机、一公开”监管，</w:t>
      </w:r>
      <w:r>
        <w:rPr>
          <w:rFonts w:ascii="仿宋_GB2312" w:eastAsia="仿宋_GB2312" w:cs="仿宋_GB2312" w:hint="eastAsia"/>
          <w:color w:val="333333"/>
          <w:sz w:val="32"/>
          <w:szCs w:val="32"/>
          <w:shd w:val="clear" w:color="auto" w:fill="FFFFFF"/>
        </w:rPr>
        <w:t>坚持问题导向，创新</w:t>
      </w:r>
      <w:r>
        <w:rPr>
          <w:rFonts w:ascii="仿宋_GB2312" w:eastAsia="仿宋_GB2312" w:cs="仿宋_GB2312" w:hint="eastAsia"/>
          <w:color w:val="333333"/>
          <w:sz w:val="32"/>
          <w:szCs w:val="32"/>
          <w:shd w:val="clear" w:color="auto" w:fill="FFFFFF"/>
          <w:lang w:eastAsia="zh-CN"/>
        </w:rPr>
        <w:t>监督</w:t>
      </w:r>
      <w:r>
        <w:rPr>
          <w:rFonts w:ascii="仿宋_GB2312" w:eastAsia="仿宋_GB2312" w:cs="仿宋_GB2312" w:hint="eastAsia"/>
          <w:color w:val="333333"/>
          <w:sz w:val="32"/>
          <w:szCs w:val="32"/>
          <w:shd w:val="clear" w:color="auto" w:fill="FFFFFF"/>
        </w:rPr>
        <w:t>管理方式，提高基金使用效能，严格管理责任，加强事中事后监管，切实解决管理不到位、随意检查等问题，督促定点医药机构严格执行医保政策，进一步提高服务水平。</w:t>
      </w:r>
    </w:p>
    <w:p>
      <w:pPr>
        <w:widowControl/>
        <w:autoSpaceDE w:val="0"/>
        <w:spacing w:line="560" w:lineRule="exact"/>
        <w:ind w:firstLine="645"/>
        <w:rPr>
          <w:rFonts w:ascii="黑体" w:eastAsia="黑体" w:cs="黑体" w:hint="eastAsia"/>
          <w:kern w:val="0"/>
          <w:sz w:val="32"/>
          <w:szCs w:val="32"/>
          <w:highlight w:val="auto"/>
        </w:rPr>
      </w:pPr>
      <w:r>
        <w:rPr>
          <w:rFonts w:ascii="黑体" w:eastAsia="黑体" w:cs="黑体" w:hint="eastAsia"/>
          <w:kern w:val="0"/>
          <w:sz w:val="32"/>
          <w:szCs w:val="32"/>
          <w:highlight w:val="auto"/>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outlineLvl w:val="9"/>
        <w:rPr>
          <w:rFonts w:ascii="仿宋_GB2312" w:eastAsia="仿宋_GB2312" w:cs="仿宋_GB2312" w:hint="eastAsia"/>
          <w:color w:val="333333"/>
          <w:kern w:val="0"/>
          <w:sz w:val="32"/>
          <w:szCs w:val="32"/>
          <w:shd w:val="clear" w:color="auto" w:fill="FFFFFF"/>
          <w:lang w:eastAsia="zh-CN"/>
          <w:highlight w:val="auto"/>
        </w:rPr>
      </w:pPr>
      <w:r>
        <w:rPr>
          <w:rFonts w:ascii="仿宋_GB2312" w:eastAsia="仿宋_GB2312" w:cs="仿宋_GB2312" w:hint="eastAsia"/>
          <w:color w:val="333333"/>
          <w:kern w:val="0"/>
          <w:sz w:val="32"/>
          <w:szCs w:val="32"/>
          <w:shd w:val="clear" w:color="auto" w:fill="FFFFFF"/>
          <w:highlight w:val="auto"/>
        </w:rPr>
        <w:t>（一）</w:t>
      </w:r>
      <w:r>
        <w:rPr>
          <w:rFonts w:ascii="仿宋_GB2312" w:eastAsia="仿宋_GB2312" w:cs="仿宋_GB2312" w:hint="eastAsia"/>
          <w:color w:val="333333"/>
          <w:kern w:val="0"/>
          <w:sz w:val="32"/>
          <w:szCs w:val="32"/>
          <w:shd w:val="clear" w:color="auto" w:fill="FFFFFF"/>
          <w:lang w:eastAsia="zh-CN"/>
          <w:highlight w:val="auto"/>
        </w:rPr>
        <w:t>强化基础，完善机制，提升工作规范化水平。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outlineLvl w:val="9"/>
        <w:rPr>
          <w:rFonts w:ascii="仿宋_GB2312" w:eastAsia="仿宋_GB2312" w:cs="仿宋_GB2312" w:hint="eastAsia"/>
          <w:color w:val="333333"/>
          <w:kern w:val="0"/>
          <w:sz w:val="32"/>
          <w:szCs w:val="32"/>
          <w:shd w:val="clear" w:color="auto" w:fill="FFFFFF"/>
          <w:lang w:eastAsia="zh-CN"/>
          <w:highlight w:val="auto"/>
        </w:rPr>
      </w:pPr>
      <w:r>
        <w:rPr>
          <w:rFonts w:ascii="仿宋_GB2312" w:eastAsia="仿宋_GB2312" w:cs="仿宋_GB2312" w:hint="eastAsia"/>
          <w:color w:val="333333"/>
          <w:kern w:val="0"/>
          <w:sz w:val="32"/>
          <w:szCs w:val="32"/>
          <w:shd w:val="clear" w:color="auto" w:fill="FFFFFF"/>
          <w:lang w:eastAsia="zh-CN"/>
          <w:highlight w:val="auto"/>
        </w:rPr>
        <w:t>（二）加强部门内外联合，有序推进联合抽查。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outlineLvl w:val="9"/>
        <w:rPr>
          <w:rFonts w:ascii="仿宋_GB2312" w:eastAsia="仿宋_GB2312" w:cs="仿宋_GB2312" w:hint="eastAsia"/>
          <w:color w:val="333333"/>
          <w:kern w:val="0"/>
          <w:sz w:val="32"/>
          <w:szCs w:val="32"/>
          <w:shd w:val="clear" w:color="auto" w:fill="FFFFFF"/>
          <w:lang w:eastAsia="zh-CN"/>
          <w:highlight w:val="auto"/>
        </w:rPr>
      </w:pPr>
      <w:r>
        <w:rPr>
          <w:rFonts w:ascii="仿宋_GB2312" w:eastAsia="仿宋_GB2312" w:cs="仿宋_GB2312" w:hint="eastAsia"/>
          <w:color w:val="333333"/>
          <w:kern w:val="0"/>
          <w:sz w:val="32"/>
          <w:szCs w:val="32"/>
          <w:shd w:val="clear" w:color="auto" w:fill="FFFFFF"/>
          <w:lang w:eastAsia="zh-CN"/>
          <w:highlight w:val="auto"/>
        </w:rPr>
        <w:t>（三）坚持规范公正文明监管，提高监管效能。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outlineLvl w:val="9"/>
        <w:rPr>
          <w:rFonts w:ascii="仿宋_GB2312" w:eastAsia="仿宋_GB2312" w:cs="仿宋_GB2312" w:hint="eastAsia"/>
          <w:color w:val="333333"/>
          <w:kern w:val="0"/>
          <w:sz w:val="32"/>
          <w:szCs w:val="32"/>
          <w:shd w:val="clear" w:color="auto" w:fill="FFFFFF"/>
          <w:lang w:eastAsia="zh-CN"/>
          <w:highlight w:val="auto"/>
        </w:rPr>
      </w:pPr>
      <w:r>
        <w:rPr>
          <w:rFonts w:ascii="仿宋_GB2312" w:eastAsia="仿宋_GB2312" w:cs="仿宋_GB2312" w:hint="eastAsia"/>
          <w:color w:val="333333"/>
          <w:kern w:val="0"/>
          <w:sz w:val="32"/>
          <w:szCs w:val="32"/>
          <w:shd w:val="clear" w:color="auto" w:fill="FFFFFF"/>
          <w:lang w:eastAsia="zh-CN"/>
          <w:highlight w:val="auto"/>
        </w:rPr>
        <w:t>（四）加强业务培训，创新工作方法，规范工作流程。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outlineLvl w:val="9"/>
        <w:rPr>
          <w:rFonts w:ascii="仿宋_GB2312" w:eastAsia="仿宋_GB2312" w:cs="仿宋_GB2312" w:hint="eastAsia"/>
          <w:color w:val="333333"/>
          <w:kern w:val="0"/>
          <w:sz w:val="32"/>
          <w:szCs w:val="32"/>
          <w:shd w:val="clear" w:color="auto" w:fill="FFFFFF"/>
          <w:lang w:eastAsia="zh-CN"/>
          <w:highlight w:val="auto"/>
        </w:rPr>
      </w:pPr>
      <w:r>
        <w:rPr>
          <w:rFonts w:ascii="仿宋_GB2312" w:eastAsia="仿宋_GB2312" w:cs="仿宋_GB2312" w:hint="eastAsia"/>
          <w:color w:val="333333"/>
          <w:kern w:val="0"/>
          <w:sz w:val="32"/>
          <w:szCs w:val="32"/>
          <w:shd w:val="clear" w:color="auto" w:fill="FFFFFF"/>
          <w:lang w:eastAsia="zh-CN"/>
          <w:highlight w:val="auto"/>
        </w:rPr>
        <w:t>（五）公开透明，实施阳光监管，接受社会监督。</w:t>
      </w:r>
    </w:p>
    <w:p>
      <w:pPr>
        <w:widowControl/>
        <w:autoSpaceDE w:val="0"/>
        <w:spacing w:line="560" w:lineRule="exact"/>
        <w:ind w:firstLineChars="200" w:firstLine="640"/>
        <w:rPr>
          <w:rFonts w:ascii="仿宋_GB2312" w:eastAsia="仿宋_GB2312" w:cs="黑体" w:hint="eastAsia"/>
          <w:kern w:val="0"/>
          <w:sz w:val="32"/>
          <w:szCs w:val="32"/>
        </w:rPr>
      </w:pPr>
      <w:r>
        <w:rPr>
          <w:rFonts w:ascii="黑体" w:eastAsia="黑体" w:cs="黑体" w:hint="eastAsia"/>
          <w:kern w:val="0"/>
          <w:sz w:val="32"/>
          <w:szCs w:val="32"/>
        </w:rPr>
        <w:t>三、主要任务</w:t>
      </w:r>
      <w:r>
        <w:rPr>
          <w:rFonts w:ascii="仿宋_GB2312" w:eastAsia="仿宋_GB2312" w:cs="黑体" w:hint="eastAsia"/>
          <w:kern w:val="0"/>
          <w:sz w:val="32"/>
          <w:szCs w:val="32"/>
        </w:rPr>
        <w:t xml:space="preserve"> </w:t>
      </w:r>
    </w:p>
    <w:p>
      <w:pPr>
        <w:widowControl/>
        <w:autoSpaceDE w:val="0"/>
        <w:spacing w:line="560" w:lineRule="exact"/>
        <w:ind w:firstLine="645"/>
        <w:rPr>
          <w:rFonts w:ascii="仿宋_GB2312" w:eastAsia="仿宋_GB2312" w:cs="Times New Roman" w:hint="eastAsia"/>
          <w:kern w:val="0"/>
          <w:sz w:val="32"/>
          <w:szCs w:val="32"/>
        </w:rPr>
      </w:pPr>
      <w:r>
        <w:rPr>
          <w:rFonts w:ascii="楷体_GB2312" w:eastAsia="楷体_GB2312" w:cs="楷体" w:hint="eastAsia"/>
          <w:b/>
          <w:bCs/>
          <w:kern w:val="0"/>
          <w:sz w:val="32"/>
          <w:szCs w:val="32"/>
        </w:rPr>
        <w:t>（一）强化基础工作。</w:t>
      </w:r>
      <w:r>
        <w:rPr>
          <w:rFonts w:ascii="仿宋_GB2312" w:eastAsia="仿宋_GB2312" w:cs="仿宋_GB2312" w:hint="eastAsia"/>
          <w:color w:val="333333"/>
          <w:kern w:val="0"/>
          <w:sz w:val="32"/>
          <w:szCs w:val="32"/>
          <w:shd w:val="clear" w:color="auto" w:fill="FFFFFF"/>
          <w:lang w:eastAsia="zh-CN"/>
          <w:highlight w:val="auto"/>
        </w:rPr>
        <w:t>深入研究河北省双随机执法监管平台各项功能，持续完善“一单两库一指引”，统一工作流程，规范平台操作，认真扎实做好各项基础工作，确保部门抽查规范有序开展。</w:t>
      </w:r>
      <w:r>
        <w:rPr>
          <w:rFonts w:ascii="仿宋_GB2312" w:eastAsia="仿宋_GB2312" w:cs="仿宋_GB2312" w:hint="eastAsia"/>
          <w:color w:val="333333"/>
          <w:kern w:val="0"/>
          <w:sz w:val="32"/>
          <w:szCs w:val="32"/>
          <w:shd w:val="clear" w:color="auto" w:fill="FFFFFF"/>
        </w:rPr>
        <w:t>凡是需要第三方或专业机构（专家）协助参与完成抽查工作的部门，都要建立相应的专家库。提升河北省双随机执法监管平台的稳定性、适用性和便利化、规范化，确保满足各类抽查需求</w:t>
      </w:r>
      <w:r>
        <w:rPr>
          <w:rFonts w:ascii="仿宋_GB2312" w:eastAsia="仿宋_GB2312" w:cs="仿宋_GB2312" w:hint="eastAsia"/>
          <w:color w:val="333333"/>
          <w:kern w:val="0"/>
          <w:sz w:val="32"/>
          <w:szCs w:val="32"/>
          <w:shd w:val="clear" w:color="auto" w:fill="FFFFFF"/>
          <w:lang w:eastAsia="zh-CN"/>
        </w:rPr>
        <w:t>。</w:t>
      </w:r>
      <w:r>
        <w:rPr>
          <w:rFonts w:ascii="仿宋_GB2312" w:eastAsia="仿宋_GB2312" w:cs="Times New Roman" w:hint="eastAsia"/>
          <w:kern w:val="0"/>
          <w:sz w:val="32"/>
          <w:szCs w:val="32"/>
        </w:rPr>
        <w:t>（牵头科室：基金监管科；责任科室单位：规划财务和法规科、医药价格和招标采购科、市医保中心，完成时限：6月底）</w:t>
      </w:r>
    </w:p>
    <w:p>
      <w:pPr>
        <w:widowControl/>
        <w:autoSpaceDE w:val="0"/>
        <w:spacing w:line="560" w:lineRule="exact"/>
        <w:ind w:firstLine="645"/>
        <w:rPr>
          <w:rFonts w:ascii="仿宋_GB2312" w:eastAsia="仿宋_GB2312" w:cs="Times New Roman" w:hint="eastAsia"/>
          <w:kern w:val="0"/>
          <w:sz w:val="32"/>
          <w:szCs w:val="32"/>
        </w:rPr>
      </w:pPr>
      <w:r>
        <w:rPr>
          <w:rFonts w:ascii="楷体_GB2312" w:eastAsia="楷体_GB2312" w:cs="楷体" w:hint="eastAsia"/>
          <w:b/>
          <w:bCs/>
          <w:kern w:val="0"/>
          <w:sz w:val="32"/>
          <w:szCs w:val="32"/>
        </w:rPr>
        <w:t>（二）</w:t>
      </w:r>
      <w:r>
        <w:rPr>
          <w:rFonts w:ascii="楷体_GB2312" w:eastAsia="楷体_GB2312" w:cs="楷体" w:hint="eastAsia"/>
          <w:b/>
          <w:bCs/>
          <w:kern w:val="0"/>
          <w:sz w:val="32"/>
          <w:szCs w:val="32"/>
          <w:lang w:eastAsia="zh-CN"/>
        </w:rPr>
        <w:t>严格制定执行</w:t>
      </w:r>
      <w:r>
        <w:rPr>
          <w:rFonts w:ascii="楷体_GB2312" w:eastAsia="楷体_GB2312" w:cs="楷体" w:hint="eastAsia"/>
          <w:b/>
          <w:bCs/>
          <w:kern w:val="0"/>
          <w:sz w:val="32"/>
          <w:szCs w:val="32"/>
        </w:rPr>
        <w:t>双随机监管工作年度计划。</w:t>
      </w:r>
      <w:r>
        <w:rPr>
          <w:rFonts w:ascii="仿宋_GB2312" w:eastAsia="仿宋_GB2312" w:cs="Times New Roman" w:hint="eastAsia"/>
          <w:kern w:val="0"/>
          <w:sz w:val="32"/>
          <w:szCs w:val="32"/>
        </w:rPr>
        <w:t>按照</w:t>
      </w:r>
      <w:r>
        <w:rPr>
          <w:rFonts w:ascii="仿宋_GB2312" w:eastAsia="仿宋_GB2312" w:cs="仿宋_GB2312" w:hint="eastAsia"/>
          <w:color w:val="000000"/>
          <w:sz w:val="32"/>
          <w:szCs w:val="32"/>
          <w:shd w:val="clear" w:color="auto" w:fill="FFFFFF"/>
        </w:rPr>
        <w:t>《</w:t>
      </w:r>
      <w:r>
        <w:rPr>
          <w:rFonts w:ascii="仿宋_GB2312" w:eastAsia="仿宋_GB2312" w:cs="仿宋_GB2312" w:hint="eastAsia"/>
          <w:color w:val="000000"/>
          <w:sz w:val="32"/>
          <w:szCs w:val="32"/>
          <w:shd w:val="clear" w:color="auto" w:fill="FFFFFF"/>
          <w:lang w:eastAsia="zh-CN"/>
        </w:rPr>
        <w:t>202</w:t>
      </w:r>
      <w:r>
        <w:rPr>
          <w:rFonts w:ascii="仿宋_GB2312" w:eastAsia="仿宋_GB2312" w:cs="仿宋_GB2312" w:hint="eastAsia"/>
          <w:color w:val="000000"/>
          <w:sz w:val="32"/>
          <w:szCs w:val="32"/>
          <w:shd w:val="clear" w:color="auto" w:fill="FFFFFF"/>
          <w:lang w:val="en-US" w:eastAsia="zh-CN"/>
        </w:rPr>
        <w:t>4</w:t>
      </w:r>
      <w:r>
        <w:rPr>
          <w:rFonts w:ascii="仿宋_GB2312" w:eastAsia="仿宋_GB2312" w:cs="仿宋_GB2312" w:hint="eastAsia"/>
          <w:color w:val="000000"/>
          <w:sz w:val="32"/>
          <w:szCs w:val="32"/>
          <w:shd w:val="clear" w:color="auto" w:fill="FFFFFF"/>
          <w:lang w:eastAsia="zh-CN"/>
        </w:rPr>
        <w:t>年秦皇岛市“双随机、一公开”监管工作实施方案》</w:t>
      </w:r>
      <w:r>
        <w:rPr>
          <w:rFonts w:ascii="仿宋_GB2312" w:eastAsia="仿宋_GB2312" w:cs="Times New Roman" w:hint="eastAsia"/>
          <w:color w:val="000000"/>
          <w:kern w:val="60"/>
          <w:sz w:val="32"/>
          <w:szCs w:val="32"/>
          <w:lang w:eastAsia="zh-CN"/>
        </w:rPr>
        <w:t>相关要求，</w:t>
      </w:r>
      <w:r>
        <w:rPr>
          <w:rFonts w:ascii="仿宋_GB2312" w:eastAsia="仿宋_GB2312" w:cs="Times New Roman" w:hint="eastAsia"/>
          <w:color w:val="000000"/>
          <w:kern w:val="60"/>
          <w:sz w:val="32"/>
          <w:szCs w:val="32"/>
        </w:rPr>
        <w:t>依</w:t>
      </w:r>
      <w:r>
        <w:rPr>
          <w:rFonts w:ascii="仿宋_GB2312" w:eastAsia="仿宋_GB2312" w:cs="仿宋_GB2312" w:hint="eastAsia"/>
          <w:color w:val="000000"/>
          <w:sz w:val="32"/>
          <w:szCs w:val="32"/>
          <w:shd w:val="clear" w:color="auto" w:fill="FFFFFF"/>
        </w:rPr>
        <w:t>据监管职责，结合监管重点、风险点、业务领域的工作特点，认真制定2024年度抽查计划，抽查市本级定点医疗机构比例不低于10%</w:t>
      </w:r>
      <w:r>
        <w:rPr>
          <w:rFonts w:ascii="仿宋_GB2312" w:eastAsia="仿宋_GB2312" w:cs="Times New Roman" w:hint="eastAsia"/>
          <w:kern w:val="0"/>
          <w:sz w:val="32"/>
          <w:szCs w:val="32"/>
        </w:rPr>
        <w:t>，抽查内容涵盖单位与个人遵守社会保险法律法规的情况和医疗机构药品集中采购相关规定的执行情况，使医疗保障监管能够得到社会的认可，能够得到被检医药机构和参保人的认同。双随机抽检到的定点医疗机构在日常检查中不再重复检查。（牵头科室：基金监管科；责任科室单位：规划财务和法规科、医药价格和招标采购科、医药服务管理科、待遇保障科、市医保中心，完成时限：</w:t>
      </w:r>
      <w:r>
        <w:rPr>
          <w:rFonts w:ascii="仿宋_GB2312" w:eastAsia="仿宋_GB2312" w:cs="仿宋_GB2312" w:hint="eastAsia"/>
          <w:color w:val="000000"/>
          <w:sz w:val="32"/>
          <w:szCs w:val="32"/>
          <w:shd w:val="clear" w:color="auto" w:fill="FFFFFF"/>
          <w:lang w:val="en-US"/>
        </w:rPr>
        <w:t>12</w:t>
      </w:r>
      <w:r>
        <w:rPr>
          <w:rFonts w:ascii="仿宋_GB2312" w:eastAsia="仿宋_GB2312" w:cs="Times New Roman" w:hint="eastAsia"/>
          <w:kern w:val="0"/>
          <w:sz w:val="32"/>
          <w:szCs w:val="32"/>
          <w:lang w:val="en-US" w:eastAsia="zh-CN"/>
        </w:rPr>
        <w:t>月底</w:t>
      </w:r>
      <w:r>
        <w:rPr>
          <w:rFonts w:ascii="仿宋_GB2312" w:eastAsia="仿宋_GB2312" w:cs="Times New Roman" w:hint="eastAsia"/>
          <w:kern w:val="0"/>
          <w:sz w:val="32"/>
          <w:szCs w:val="32"/>
        </w:rPr>
        <w:t>）</w:t>
      </w:r>
    </w:p>
    <w:p>
      <w:pPr>
        <w:widowControl/>
        <w:autoSpaceDE w:val="0"/>
        <w:spacing w:line="560" w:lineRule="exact"/>
        <w:ind w:firstLineChars="200" w:firstLine="640"/>
        <w:rPr>
          <w:rFonts w:ascii="仿宋_GB2312" w:eastAsia="仿宋_GB2312" w:cs="Times New Roman" w:hint="eastAsia"/>
          <w:kern w:val="0"/>
          <w:sz w:val="32"/>
          <w:szCs w:val="32"/>
        </w:rPr>
      </w:pPr>
      <w:r>
        <w:rPr>
          <w:rFonts w:ascii="楷体_GB2312" w:eastAsia="楷体_GB2312" w:cs="楷体" w:hint="eastAsia"/>
          <w:b/>
          <w:bCs/>
          <w:kern w:val="0"/>
          <w:sz w:val="32"/>
          <w:szCs w:val="32"/>
        </w:rPr>
        <w:t>（三）加大宣传培训力度。</w:t>
      </w:r>
      <w:r>
        <w:rPr>
          <w:rFonts w:ascii="仿宋_GB2312" w:eastAsia="仿宋_GB2312" w:cs="Times New Roman" w:hint="eastAsia"/>
          <w:kern w:val="0"/>
          <w:sz w:val="32"/>
          <w:szCs w:val="32"/>
        </w:rPr>
        <w:t>进一步加大对随机抽查工作的宣传报道力度，通过宣讲政策、新闻媒体报道、官方网站开辟专栏等途径，扩大参保单位、定点医药机构、中标医药生产及流通企业等对双随机抽查监管方式的认知度，增强其对双随机抽查监管工作的理解和参与，营造浓厚的社会监督氛围，扩大医保</w:t>
      </w:r>
      <w:r>
        <w:rPr>
          <w:rFonts w:ascii="仿宋_GB2312" w:eastAsia="仿宋_GB2312" w:cs="仿宋_GB2312" w:hint="eastAsia"/>
          <w:sz w:val="32"/>
          <w:szCs w:val="32"/>
        </w:rPr>
        <w:t>监管的社会影响力和公众知晓度</w:t>
      </w:r>
      <w:r>
        <w:rPr>
          <w:rFonts w:ascii="仿宋_GB2312" w:eastAsia="仿宋_GB2312" w:cs="Times New Roman" w:hint="eastAsia"/>
          <w:kern w:val="0"/>
          <w:sz w:val="32"/>
          <w:szCs w:val="32"/>
        </w:rPr>
        <w:t>。（牵头科室：基金监管科；责任科室单位：规划财务和法规科、医药价格和招标采购科、医药服务管理科、待遇保障科、市医保中心。完成时限：12月底）</w:t>
      </w:r>
    </w:p>
    <w:p>
      <w:pPr>
        <w:widowControl/>
        <w:autoSpaceDE w:val="0"/>
        <w:spacing w:line="560" w:lineRule="exact"/>
        <w:ind w:firstLineChars="200" w:firstLine="640"/>
        <w:rPr>
          <w:rFonts w:ascii="黑体" w:eastAsia="黑体" w:cs="黑体" w:hint="eastAsia"/>
          <w:kern w:val="0"/>
          <w:sz w:val="32"/>
          <w:szCs w:val="32"/>
        </w:rPr>
      </w:pPr>
      <w:r>
        <w:rPr>
          <w:rFonts w:ascii="黑体" w:eastAsia="黑体" w:cs="黑体" w:hint="eastAsia"/>
          <w:kern w:val="0"/>
          <w:sz w:val="32"/>
          <w:szCs w:val="32"/>
        </w:rPr>
        <w:t>四、工作要求</w:t>
      </w:r>
    </w:p>
    <w:p>
      <w:pPr>
        <w:spacing w:line="560" w:lineRule="exact"/>
        <w:ind w:firstLineChars="200" w:firstLine="640"/>
        <w:rPr>
          <w:rFonts w:ascii="仿宋_GB2312" w:eastAsia="仿宋_GB2312" w:cs="Times New Roman" w:hint="eastAsia"/>
          <w:kern w:val="0"/>
          <w:sz w:val="32"/>
          <w:szCs w:val="32"/>
        </w:rPr>
      </w:pPr>
      <w:r>
        <w:rPr>
          <w:rFonts w:ascii="楷体_GB2312" w:eastAsia="楷体_GB2312" w:cs="楷体" w:hint="eastAsia"/>
          <w:b/>
          <w:bCs/>
          <w:kern w:val="0"/>
          <w:sz w:val="32"/>
          <w:szCs w:val="32"/>
        </w:rPr>
        <w:t>（一）提高政治站位，加强组织领导。</w:t>
      </w:r>
      <w:r>
        <w:rPr>
          <w:rFonts w:ascii="仿宋_GB2312" w:eastAsia="仿宋_GB2312" w:cs="仿宋_GB2312" w:hint="eastAsia"/>
          <w:color w:val="000000"/>
          <w:kern w:val="60"/>
          <w:sz w:val="32"/>
          <w:szCs w:val="32"/>
        </w:rPr>
        <w:t>按照医保基金监管效能提升年活动要求，</w:t>
      </w:r>
      <w:r>
        <w:rPr>
          <w:rFonts w:ascii="仿宋_GB2312" w:eastAsia="仿宋_GB2312" w:cs="仿宋_GB2312" w:hint="eastAsia"/>
          <w:color w:val="000000"/>
          <w:kern w:val="60"/>
          <w:sz w:val="32"/>
          <w:szCs w:val="32"/>
          <w:highlight w:val="auto"/>
        </w:rPr>
        <w:t>充分认识“双随机、一公开”监管对于构建新型监管机制、提升监管效能的重要作用，进一步加强组织领导和统筹协调，</w:t>
      </w:r>
      <w:r>
        <w:rPr>
          <w:rFonts w:ascii="仿宋_GB2312" w:eastAsia="仿宋_GB2312" w:cs="仿宋_GB2312" w:hint="eastAsia"/>
          <w:color w:val="000000"/>
          <w:kern w:val="60"/>
          <w:sz w:val="32"/>
          <w:szCs w:val="32"/>
          <w:lang w:eastAsia="zh-CN"/>
          <w:highlight w:val="auto"/>
        </w:rPr>
        <w:t>健全</w:t>
      </w:r>
      <w:r>
        <w:rPr>
          <w:rFonts w:ascii="仿宋_GB2312" w:eastAsia="仿宋_GB2312" w:cs="仿宋_GB2312" w:hint="eastAsia"/>
          <w:color w:val="000000"/>
          <w:kern w:val="60"/>
          <w:sz w:val="32"/>
          <w:szCs w:val="32"/>
          <w:highlight w:val="auto"/>
        </w:rPr>
        <w:t>工作制度和运行机制，细化工作目标和推进举措，</w:t>
      </w:r>
      <w:r>
        <w:rPr>
          <w:rFonts w:ascii="仿宋_GB2312" w:eastAsia="仿宋_GB2312" w:cs="仿宋_GB2312" w:hint="eastAsia"/>
          <w:color w:val="000000"/>
          <w:spacing w:val="-6"/>
          <w:kern w:val="60"/>
          <w:sz w:val="32"/>
          <w:szCs w:val="32"/>
        </w:rPr>
        <w:t>成立</w:t>
      </w:r>
      <w:r>
        <w:rPr>
          <w:rFonts w:ascii="仿宋_GB2312" w:eastAsia="仿宋_GB2312" w:cs="Times New Roman" w:hint="eastAsia"/>
          <w:kern w:val="0"/>
          <w:sz w:val="32"/>
          <w:szCs w:val="32"/>
        </w:rPr>
        <w:t>“双随机、一公开”监管工作领导小组，</w:t>
      </w:r>
      <w:r>
        <w:rPr>
          <w:rFonts w:ascii="仿宋_GB2312" w:eastAsia="仿宋_GB2312" w:cs="仿宋_GB2312" w:hint="eastAsia"/>
          <w:color w:val="000000"/>
          <w:kern w:val="60"/>
          <w:sz w:val="32"/>
          <w:szCs w:val="32"/>
          <w:highlight w:val="auto"/>
        </w:rPr>
        <w:t>确保各项工作任务落到实处、取得实效</w:t>
      </w:r>
      <w:r>
        <w:rPr>
          <w:rFonts w:ascii="仿宋_GB2312" w:eastAsia="仿宋_GB2312" w:cs="仿宋_GB2312" w:hint="eastAsia"/>
          <w:color w:val="000000"/>
          <w:spacing w:val="-6"/>
          <w:kern w:val="60"/>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color w:val="000000"/>
          <w:kern w:val="60"/>
          <w:sz w:val="32"/>
          <w:szCs w:val="32"/>
        </w:rPr>
      </w:pPr>
      <w:r>
        <w:rPr>
          <w:rFonts w:ascii="楷体_GB2312" w:eastAsia="楷体_GB2312" w:cs="楷体" w:hint="eastAsia"/>
          <w:b/>
          <w:bCs/>
          <w:kern w:val="0"/>
          <w:sz w:val="32"/>
          <w:szCs w:val="32"/>
        </w:rPr>
        <w:t>（二）认真履行职责,积极协调配合。</w:t>
      </w:r>
      <w:r>
        <w:rPr>
          <w:rFonts w:ascii="仿宋_GB2312" w:eastAsia="仿宋_GB2312" w:cs="Times New Roman" w:hint="eastAsia"/>
          <w:kern w:val="0"/>
          <w:sz w:val="32"/>
          <w:szCs w:val="32"/>
        </w:rPr>
        <w:t>要认真落实责任，按照工作方案要求，积极主动开展工作。按照“双随机、一公开”监管要求与各部门之间要加强联络沟通，</w:t>
      </w:r>
      <w:r>
        <w:rPr>
          <w:rFonts w:ascii="仿宋_GB2312" w:eastAsia="仿宋_GB2312" w:cs="仿宋_GB2312" w:hint="eastAsia"/>
          <w:color w:val="000000"/>
          <w:kern w:val="60"/>
          <w:sz w:val="32"/>
          <w:szCs w:val="32"/>
        </w:rPr>
        <w:t>牢固树立“一盘棋”思想，相互支持、密切配合、协同促进，合力推进各项工作任务落实，</w:t>
      </w:r>
      <w:r>
        <w:rPr>
          <w:rFonts w:ascii="仿宋_GB2312" w:eastAsia="仿宋_GB2312" w:cs="Times New Roman" w:hint="eastAsia"/>
          <w:kern w:val="0"/>
          <w:sz w:val="32"/>
          <w:szCs w:val="32"/>
        </w:rPr>
        <w:t>发挥出最大效能，形成工作合力。</w:t>
      </w:r>
    </w:p>
    <w:p>
      <w:pPr>
        <w:widowControl/>
        <w:autoSpaceDE w:val="0"/>
        <w:spacing w:line="560" w:lineRule="exact"/>
        <w:ind w:firstLine="645"/>
        <w:rPr>
          <w:rFonts w:ascii="仿宋_GB2312" w:eastAsia="仿宋_GB2312" w:cs="Times New Roman" w:hint="eastAsia"/>
          <w:kern w:val="0"/>
          <w:sz w:val="32"/>
          <w:szCs w:val="32"/>
        </w:rPr>
      </w:pPr>
      <w:r>
        <w:rPr>
          <w:rFonts w:ascii="楷体_GB2312" w:eastAsia="楷体_GB2312" w:cs="楷体" w:hint="eastAsia"/>
          <w:b/>
          <w:bCs/>
          <w:kern w:val="0"/>
          <w:sz w:val="32"/>
          <w:szCs w:val="32"/>
        </w:rPr>
        <w:t>（三）强化跟踪问效,加大督查力度。</w:t>
      </w:r>
      <w:r>
        <w:rPr>
          <w:rFonts w:ascii="仿宋_GB2312" w:eastAsia="仿宋_GB2312" w:cs="Times New Roman" w:hint="eastAsia"/>
          <w:kern w:val="0"/>
          <w:sz w:val="32"/>
          <w:szCs w:val="32"/>
        </w:rPr>
        <w:t>探索建立健全“双随机、一公开”监管工作效果评估机制，不断提升“双随机、一公开”监管的震慑力和社会影响力。加强对“双随机、一公开”监管工作的督导检查，以查促发现问题、以查促整改落实。“双随机、一公开”监管工作领导小组将适时开展专项督查，</w:t>
      </w:r>
      <w:r>
        <w:rPr>
          <w:rFonts w:ascii="仿宋_GB2312" w:eastAsia="仿宋_GB2312" w:cs="仿宋_GB2312" w:hint="eastAsia"/>
          <w:color w:val="000000"/>
          <w:kern w:val="60"/>
          <w:sz w:val="32"/>
          <w:szCs w:val="32"/>
        </w:rPr>
        <w:t>坚决克服方案制定不认真、现场检查走过场、纸上填报、结果录入审核把关不严等不认真履行职责的现象。</w:t>
      </w:r>
    </w:p>
    <w:p>
      <w:pPr>
        <w:widowControl/>
        <w:autoSpaceDE w:val="0"/>
        <w:spacing w:line="560" w:lineRule="exact"/>
        <w:ind w:firstLine="645"/>
        <w:rPr>
          <w:rFonts w:ascii="仿宋_GB2312" w:eastAsia="仿宋_GB2312" w:cs="仿宋_GB2312" w:hint="eastAsia"/>
          <w:color w:val="000000"/>
          <w:kern w:val="60"/>
          <w:sz w:val="32"/>
          <w:szCs w:val="32"/>
        </w:rPr>
      </w:pPr>
      <w:bookmarkStart w:id="0" w:name="_GoBack"/>
      <w:bookmarkEnd w:id="0"/>
    </w:p>
    <w:p>
      <w:pPr>
        <w:spacing w:line="560" w:lineRule="exact"/>
        <w:ind w:leftChars="304" w:left="1918" w:hangingChars="400" w:hanging="1280"/>
        <w:jc w:val="left"/>
        <w:rPr>
          <w:rFonts w:ascii="仿宋_GB2312" w:eastAsia="仿宋_GB2312" w:cs="Times New Roman" w:hint="eastAsia"/>
          <w:kern w:val="0"/>
          <w:sz w:val="32"/>
          <w:szCs w:val="32"/>
        </w:rPr>
      </w:pPr>
      <w:r>
        <w:rPr>
          <w:rFonts w:ascii="仿宋_GB2312" w:eastAsia="仿宋_GB2312" w:cs="Times New Roman" w:hint="eastAsia"/>
          <w:sz w:val="32"/>
          <w:szCs w:val="32"/>
        </w:rPr>
        <w:t>附件：</w:t>
      </w:r>
      <w:r>
        <w:rPr>
          <w:rFonts w:ascii="仿宋_GB2312" w:eastAsia="仿宋_GB2312" w:cs="Times New Roman" w:hint="eastAsia"/>
          <w:kern w:val="0"/>
          <w:sz w:val="32"/>
          <w:szCs w:val="32"/>
        </w:rPr>
        <w:t>1.秦皇岛市</w:t>
      </w:r>
      <w:r>
        <w:rPr>
          <w:rFonts w:ascii="仿宋_GB2312" w:eastAsia="仿宋_GB2312" w:cs="Times New Roman" w:hint="eastAsia"/>
          <w:color w:val="000000"/>
          <w:sz w:val="32"/>
          <w:szCs w:val="32"/>
        </w:rPr>
        <w:t>医疗保障局</w:t>
      </w:r>
      <w:r>
        <w:rPr>
          <w:rFonts w:ascii="仿宋_GB2312" w:eastAsia="仿宋_GB2312" w:cs="Times New Roman" w:hint="eastAsia"/>
          <w:kern w:val="0"/>
          <w:sz w:val="32"/>
          <w:szCs w:val="32"/>
        </w:rPr>
        <w:t>“双随机、一公开”监管工作领导小组</w:t>
      </w:r>
    </w:p>
    <w:p>
      <w:pPr>
        <w:spacing w:line="560" w:lineRule="exact"/>
        <w:ind w:leftChars="760" w:left="1916" w:hangingChars="100" w:hanging="320"/>
        <w:jc w:val="left"/>
        <w:rPr>
          <w:rFonts w:ascii="仿宋_GB2312" w:eastAsia="仿宋_GB2312" w:cs="Times New Roman" w:hint="eastAsia"/>
          <w:kern w:val="0"/>
          <w:sz w:val="32"/>
          <w:szCs w:val="32"/>
        </w:rPr>
      </w:pPr>
      <w:r>
        <w:rPr>
          <w:rFonts w:ascii="仿宋_GB2312" w:eastAsia="仿宋_GB2312" w:cs="Times New Roman" w:hint="eastAsia"/>
          <w:kern w:val="0"/>
          <w:sz w:val="32"/>
          <w:szCs w:val="32"/>
        </w:rPr>
        <w:t>2.秦皇</w:t>
      </w:r>
      <w:r>
        <w:rPr>
          <w:rFonts w:ascii="仿宋_GB2312" w:eastAsia="仿宋_GB2312" w:cs="仿宋_GB2312" w:hint="eastAsia"/>
          <w:color w:val="000000"/>
          <w:kern w:val="60"/>
          <w:sz w:val="32"/>
          <w:szCs w:val="32"/>
        </w:rPr>
        <w:t>岛市医疗保障局2024年度内部联合随机</w:t>
      </w:r>
      <w:r>
        <w:rPr>
          <w:rFonts w:ascii="仿宋_GB2312" w:eastAsia="仿宋_GB2312" w:cs="Times New Roman" w:hint="eastAsia"/>
          <w:color w:val="000000"/>
          <w:sz w:val="32"/>
          <w:szCs w:val="32"/>
        </w:rPr>
        <w:t>抽查工作计划</w:t>
      </w:r>
    </w:p>
    <w:p>
      <w:pPr>
        <w:pStyle w:val="16"/>
        <w:spacing w:line="560" w:lineRule="exact"/>
        <w:rPr>
          <w:rFonts w:ascii="仿宋_GB2312" w:eastAsia="仿宋_GB2312" w:cs="Times New Roman" w:hint="eastAsia"/>
          <w:sz w:val="28"/>
          <w:szCs w:val="28"/>
        </w:rPr>
      </w:pPr>
    </w:p>
    <w:sectPr>
      <w:footerReference w:type="default" r:id="rId2"/>
      <w:footerReference w:type="even" r:id="rId3"/>
      <w:pgSz w:w="11906" w:h="16838"/>
      <w:pgMar w:top="2098" w:right="1474" w:bottom="1871"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modern"/>
    <w:pitch w:val="variable"/>
    <w:sig w:usb0="00000000" w:usb1="00000000" w:usb2="00000010" w:usb3="00000000" w:csb0="00040000" w:csb1="00000000"/>
  </w:font>
  <w:font w:name="方正小标宋简体">
    <w:altName w:val="Arial Unicode MS"/>
    <w:panose1 w:val="03000509000000000000"/>
    <w:charset w:val="86"/>
    <w:family w:val="script"/>
    <w:pitch w:val="variable"/>
    <w:sig w:usb0="00000000" w:usb1="0000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right"/>
      <w:rPr>
        <w:rFonts w:ascii="宋体" w:cs="Times New Roman"/>
        <w:sz w:val="28"/>
        <w:szCs w:val="28"/>
      </w:rPr>
    </w:pPr>
    <w:r>
      <w:rPr>
        <w:rFonts w:ascii="宋体" w:cs="宋体"/>
        <w:sz w:val="28"/>
        <w:szCs w:val="28"/>
      </w:rPr>
      <w:fldChar w:fldCharType="begin"/>
    </w:r>
    <w:r>
      <w:rPr>
        <w:rFonts w:ascii="宋体" w:cs="宋体"/>
        <w:sz w:val="28"/>
        <w:szCs w:val="28"/>
      </w:rPr>
      <w:instrText>PAGE   \* MERGEFORMAT</w:instrText>
    </w:r>
    <w:r>
      <w:rPr>
        <w:rFonts w:ascii="宋体" w:cs="宋体"/>
        <w:sz w:val="28"/>
        <w:szCs w:val="28"/>
      </w:rPr>
      <w:fldChar w:fldCharType="separate"/>
    </w:r>
    <w:r>
      <w:rPr>
        <w:rFonts w:ascii="宋体" w:cs="宋体"/>
        <w:sz w:val="28"/>
        <w:szCs w:val="28"/>
        <w:lang w:val="zh-CN"/>
      </w:rPr>
      <w:t>-</w:t>
    </w:r>
    <w:r>
      <w:rPr>
        <w:rFonts w:ascii="宋体" w:cs="宋体"/>
        <w:sz w:val="28"/>
        <w:szCs w:val="28"/>
      </w:rPr>
      <w:t xml:space="preserve"> 5 -</w:t>
    </w:r>
    <w:r>
      <w:rPr>
        <w:rFonts w:ascii="宋体" w:cs="宋体"/>
        <w:sz w:val="28"/>
        <w:szCs w:val="28"/>
      </w:rPr>
      <w:fldChar w:fldCharType="end"/>
    </w:r>
  </w:p>
  <w:p>
    <w:pPr>
      <w:pStyle w:val="19"/>
      <w:tabs>
        <w:tab w:val="center" w:pos="4153"/>
        <w:tab w:val="right" w:pos="8306"/>
      </w:tabs>
      <w:rPr>
        <w:rFonts w:cs="Times New Roma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rPr>
        <w:rFonts w:ascii="宋体" w:cs="Times New Roman"/>
        <w:sz w:val="28"/>
        <w:szCs w:val="28"/>
      </w:rPr>
    </w:pPr>
    <w:r>
      <w:rPr>
        <w:rFonts w:ascii="宋体" w:cs="宋体"/>
        <w:sz w:val="28"/>
        <w:szCs w:val="28"/>
      </w:rPr>
      <w:fldChar w:fldCharType="begin"/>
    </w:r>
    <w:r>
      <w:rPr>
        <w:rFonts w:ascii="宋体" w:cs="宋体"/>
        <w:sz w:val="28"/>
        <w:szCs w:val="28"/>
      </w:rPr>
      <w:instrText>PAGE   \* MERGEFORMAT</w:instrText>
    </w:r>
    <w:r>
      <w:rPr>
        <w:rFonts w:ascii="宋体" w:cs="宋体"/>
        <w:sz w:val="28"/>
        <w:szCs w:val="28"/>
      </w:rPr>
      <w:fldChar w:fldCharType="separate"/>
    </w:r>
    <w:r>
      <w:rPr>
        <w:rFonts w:ascii="宋体" w:cs="宋体"/>
        <w:sz w:val="28"/>
        <w:szCs w:val="28"/>
        <w:lang w:val="zh-CN"/>
      </w:rPr>
      <w:t>-</w:t>
    </w:r>
    <w:r>
      <w:rPr>
        <w:rFonts w:ascii="宋体" w:cs="宋体"/>
        <w:sz w:val="28"/>
        <w:szCs w:val="28"/>
      </w:rPr>
      <w:t xml:space="preserve"> 6 -</w:t>
    </w:r>
    <w:r>
      <w:rPr>
        <w:rFonts w:ascii="宋体" w:cs="宋体"/>
        <w:sz w:val="28"/>
        <w:szCs w:val="28"/>
      </w:rPr>
      <w:fldChar w:fldCharType="end"/>
    </w:r>
  </w:p>
  <w:p>
    <w:pPr>
      <w:pStyle w:val="19"/>
      <w:tabs>
        <w:tab w:val="center" w:pos="4153"/>
        <w:tab w:val="right" w:pos="8306"/>
      </w:tabs>
      <w:rPr>
        <w:rFonts w:cs="Times New Roma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oNotDisplayPageBoundaries/>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Calibri" w:hAnsi="Calibri"/>
      <w:kern w:val="2"/>
      <w:sz w:val="21"/>
      <w:szCs w:val="21"/>
      <w:lang w:val="en-US" w:eastAsia="zh-CN" w:bidi="ar-SA"/>
    </w:rPr>
  </w:style>
  <w:style w:type="paragraph" w:styleId="1">
    <w:name w:val="heading 1"/>
    <w:basedOn w:val="0"/>
    <w:next w:val="0"/>
    <w:pPr>
      <w:spacing w:before="100" w:beforeAutospacing="1" w:after="100" w:afterAutospacing="1"/>
      <w:jc w:val="left"/>
      <w:outlineLvl w:val="0"/>
    </w:pPr>
    <w:rPr>
      <w:rFonts w:ascii="宋体" w:cs="宋体"/>
      <w:b/>
      <w:bCs/>
      <w:kern w:val="36"/>
      <w:sz w:val="48"/>
      <w:szCs w:val="48"/>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a heading"/>
    <w:basedOn w:val="0"/>
    <w:next w:val="0"/>
    <w:pPr>
      <w:spacing w:before="120"/>
    </w:pPr>
    <w:rPr>
      <w:rFonts w:ascii="Arial" w:hAnsi="Arial"/>
      <w:sz w:val="24"/>
    </w:rPr>
  </w:style>
  <w:style w:type="paragraph" w:styleId="16">
    <w:name w:val="Body Text"/>
    <w:basedOn w:val="0"/>
    <w:pPr>
      <w:jc w:val="center"/>
    </w:pPr>
  </w:style>
  <w:style w:type="paragraph" w:styleId="17">
    <w:name w:val="Date"/>
    <w:basedOn w:val="0"/>
    <w:next w:val="0"/>
    <w:pPr>
      <w:ind w:leftChars="2500" w:left="2500"/>
    </w:pPr>
    <w:rPr>
      <w:szCs w:val="20"/>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HTML Preformatted"/>
    <w:basedOn w:val="0"/>
    <w:next w:val="19"/>
    <w:pPr>
      <w:widowControl w:val="0"/>
      <w:jc w:val="left"/>
    </w:pPr>
    <w:rPr>
      <w:rFonts w:ascii="宋体" w:eastAsia="宋体" w:cs="Times New Roman"/>
      <w:kern w:val="0"/>
      <w:sz w:val="24"/>
      <w:szCs w:val="24"/>
      <w:lang w:val="en-US" w:eastAsia="zh-CN" w:bidi="ar-SA"/>
    </w:rPr>
  </w:style>
  <w:style w:type="paragraph" w:styleId="22">
    <w:name w:val="Body Text First Indent"/>
    <w:basedOn w:val="16"/>
    <w:pPr>
      <w:ind w:firstLineChars="100" w:firstLine="100"/>
    </w:pPr>
  </w:style>
  <w:style w:type="character" w:styleId="23">
    <w:name w:val="Hyperlink"/>
    <w:rPr>
      <w:color w:val="0000FF"/>
      <w:u w:val="single"/>
    </w:rPr>
  </w:style>
  <w:style w:type="paragraph" w:customStyle="1" w:styleId="24">
    <w:name w:val="正文1"/>
    <w:pPr>
      <w:jc w:val="both"/>
    </w:pPr>
    <w:rPr>
      <w:rFonts w:ascii="宋体" w:eastAsia="宋体" w:cs="宋体"/>
      <w:kern w:val="2"/>
      <w:sz w:val="21"/>
      <w:szCs w:val="21"/>
      <w:lang w:val="en-US" w:eastAsia="zh-CN" w:bidi="ar-SA"/>
    </w:rPr>
  </w:style>
  <w:style w:type="paragraph" w:styleId="25">
    <w:name w:val="List Paragraph"/>
    <w:basedOn w:val="0"/>
    <w:pPr>
      <w:ind w:firstLineChars="200" w:firstLine="200"/>
    </w:pPr>
  </w:style>
  <w:style w:type="character" w:styleId="26">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3728</TotalTime>
  <Application>Yozo_Office27021597764231179</Application>
  <Pages>5</Pages>
  <Words>1772</Words>
  <Characters>1805</Characters>
  <Lines>100</Lines>
  <Paragraphs>28</Paragraphs>
  <CharactersWithSpaces>1814</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宋宝伟</dc:creator>
  <cp:lastModifiedBy>DELL</cp:lastModifiedBy>
  <cp:revision>80</cp:revision>
  <cp:lastPrinted>2024-06-05T00:45:52Z</cp:lastPrinted>
  <dcterms:created xsi:type="dcterms:W3CDTF">2018-12-27T05:58:00Z</dcterms:created>
  <dcterms:modified xsi:type="dcterms:W3CDTF">2024-08-06T01:17:03Z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2052-11.8.2.10912</vt:lpwstr>
  </property>
  <property fmtid="{D5CDD505-2E9C-101B-9397-08002B2CF9AE}" pid="3" name="ICV">
    <vt:lpwstr>72FFD2BA0A124D96AF7D9ABEA775AC9A</vt:lpwstr>
  </property>
</Properties>
</file>