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eastAsia="方正小标宋简体"/>
          <w:sz w:val="44"/>
          <w:szCs w:val="44"/>
        </w:rPr>
      </w:pPr>
      <w:r>
        <w:rPr>
          <w:rFonts w:eastAsia="方正小标宋简体"/>
          <w:sz w:val="44"/>
          <w:szCs w:val="44"/>
        </w:rPr>
        <w:t>秦皇岛市医疗保障局</w:t>
      </w:r>
    </w:p>
    <w:p>
      <w:pPr>
        <w:keepNext w:val="0"/>
        <w:keepLines w:val="0"/>
        <w:pageBreakBefore w:val="0"/>
        <w:widowControl w:val="0"/>
        <w:kinsoku/>
        <w:wordWrap/>
        <w:overflowPunct/>
        <w:topLinePunct w:val="0"/>
        <w:autoSpaceDE/>
        <w:autoSpaceDN/>
        <w:bidi w:val="0"/>
        <w:adjustRightInd/>
        <w:snapToGrid/>
        <w:spacing w:line="589" w:lineRule="exact"/>
        <w:jc w:val="center"/>
        <w:textAlignment w:val="auto"/>
        <w:rPr>
          <w:rFonts w:eastAsia="方正小标宋简体"/>
          <w:sz w:val="44"/>
          <w:szCs w:val="44"/>
        </w:rPr>
      </w:pPr>
      <w:r>
        <w:rPr>
          <w:rFonts w:eastAsia="方正小标宋简体"/>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仿宋_GB2312"/>
          <w:spacing w:val="-4"/>
          <w:sz w:val="32"/>
          <w:szCs w:val="32"/>
        </w:rPr>
      </w:pPr>
      <w:r>
        <w:rPr>
          <w:rFonts w:eastAsia="仿宋_GB2312"/>
          <w:spacing w:val="-4"/>
          <w:sz w:val="32"/>
          <w:szCs w:val="32"/>
        </w:rPr>
        <w:t>根据《中华人民共和国政府信息公开条例》（国务院令第711号，以下简称《条例》）的规定，现发布秦皇岛市医疗保障局2023年政府信息公开工作年度报告。本报告所列统计数据的期限自2023年1月1日起，至2023年12月31日止。如对本报告有任何疑问，请与我局政府信息公开申请受理机构联系（地址：秦皇岛市河北大街西段560号秦皇岛银行13楼；邮编：066000；电话：0335-3963531；传真：0335-3963569）。</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黑体"/>
          <w:spacing w:val="-4"/>
          <w:sz w:val="32"/>
          <w:szCs w:val="32"/>
        </w:rPr>
      </w:pPr>
      <w:r>
        <w:rPr>
          <w:rFonts w:eastAsia="黑体"/>
          <w:spacing w:val="-4"/>
          <w:sz w:val="32"/>
          <w:szCs w:val="32"/>
        </w:rPr>
        <w:t>一、总体情况</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仿宋_GB2312"/>
          <w:spacing w:val="-4"/>
          <w:sz w:val="32"/>
          <w:szCs w:val="32"/>
        </w:rPr>
      </w:pPr>
      <w:r>
        <w:rPr>
          <w:rFonts w:eastAsia="仿宋_GB2312"/>
          <w:spacing w:val="-4"/>
          <w:sz w:val="32"/>
          <w:szCs w:val="32"/>
        </w:rPr>
        <w:t>2023年，市医保局以习近平新时代中国特色社会主义思想为指导，全面贯彻落实习近平总书记视察河北重要讲话和关于医疗保障工作的重要批示指示精神，坚决落实省委、省政府、市委、市政府决策部署和省医保系统会议精神，以更好实现让参保群众“看好病、少花钱、少跑腿”为工作目标，持续加强医疗保障体系建设，深化医疗保障制度改革，积极完善基金使用监督管理机制，持之以恒正风肃纪反腐。在市委、市政府的坚强领导和省医保局的指导支持下，“缴费即参保”试点、深化医保支付方式改革、跟进药品耗材集中带量采购、医疗服务价格动态调整、完善医保基金监管多部门联动机制等省市确定的重点工作、深改任务以及医改考核指标等重点工作任务均已完成。我市创新推进的“日间病房”服务模式得到了上级和基层群众的充分认可，在《河北改革动态》上予以发表；率先开展的“自助药房”试点，在全省进行了推广，让全市群众更好享受到医保改革发展的新成果新成效。同时严格执行《条例》规定，加大信息公开力度，让医保惠民好政策被及时被群众知晓。</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仿宋_GB2312"/>
          <w:spacing w:val="-4"/>
          <w:sz w:val="32"/>
          <w:szCs w:val="32"/>
        </w:rPr>
      </w:pPr>
      <w:r>
        <w:rPr>
          <w:rFonts w:eastAsia="仿宋_GB2312"/>
          <w:spacing w:val="-4"/>
          <w:sz w:val="32"/>
          <w:szCs w:val="32"/>
        </w:rPr>
        <w:t>一是充分利用秦皇岛市医疗保障局官网和微信公众号</w:t>
      </w:r>
      <w:r>
        <w:rPr>
          <w:rFonts w:hint="eastAsia" w:eastAsia="仿宋_GB2312"/>
          <w:spacing w:val="-4"/>
          <w:sz w:val="32"/>
          <w:szCs w:val="32"/>
        </w:rPr>
        <w:t>“秦皇岛医疗保障”</w:t>
      </w:r>
      <w:r>
        <w:rPr>
          <w:rFonts w:eastAsia="仿宋_GB2312"/>
          <w:spacing w:val="-4"/>
          <w:sz w:val="32"/>
          <w:szCs w:val="32"/>
        </w:rPr>
        <w:t>及时发布医保政策信息。2023年度，通过局官网</w:t>
      </w:r>
      <w:r>
        <w:rPr>
          <w:rFonts w:hint="eastAsia" w:eastAsia="仿宋_GB2312"/>
          <w:spacing w:val="-4"/>
          <w:sz w:val="32"/>
          <w:szCs w:val="32"/>
        </w:rPr>
        <w:t>发布宣传信息668条，利用微信公众号“秦皇岛医疗保障”发布信息260条，</w:t>
      </w:r>
      <w:r>
        <w:rPr>
          <w:rFonts w:eastAsia="仿宋_GB2312"/>
          <w:spacing w:val="-4"/>
          <w:sz w:val="32"/>
          <w:szCs w:val="32"/>
        </w:rPr>
        <w:t>公众号</w:t>
      </w:r>
      <w:r>
        <w:rPr>
          <w:rFonts w:hint="eastAsia" w:eastAsia="仿宋_GB2312"/>
          <w:spacing w:val="-4"/>
          <w:sz w:val="32"/>
          <w:szCs w:val="32"/>
        </w:rPr>
        <w:t>关注人数</w:t>
      </w:r>
      <w:r>
        <w:rPr>
          <w:rFonts w:eastAsia="仿宋_GB2312"/>
          <w:spacing w:val="-4"/>
          <w:sz w:val="32"/>
          <w:szCs w:val="32"/>
        </w:rPr>
        <w:t>增加至162564人，比去年增加近4万人。通过</w:t>
      </w:r>
      <w:r>
        <w:rPr>
          <w:rFonts w:hint="eastAsia" w:eastAsia="仿宋_GB2312"/>
          <w:spacing w:val="-4"/>
          <w:sz w:val="32"/>
          <w:szCs w:val="32"/>
        </w:rPr>
        <w:t>积极宣传医疗保障改革带来的“日间病房”“京津冀异地就医免备案”“缴费即参保”等便民利民举措，大力宣传推动基本医疗保险全民参保计划，增进</w:t>
      </w:r>
      <w:r>
        <w:rPr>
          <w:rFonts w:eastAsia="仿宋_GB2312"/>
          <w:spacing w:val="-4"/>
          <w:sz w:val="32"/>
          <w:szCs w:val="32"/>
        </w:rPr>
        <w:t>了</w:t>
      </w:r>
      <w:r>
        <w:rPr>
          <w:rFonts w:hint="eastAsia" w:eastAsia="仿宋_GB2312"/>
          <w:spacing w:val="-4"/>
          <w:sz w:val="32"/>
          <w:szCs w:val="32"/>
        </w:rPr>
        <w:t>群众对医疗保障工作的理解和支持。</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仿宋_GB2312"/>
          <w:spacing w:val="-4"/>
          <w:sz w:val="32"/>
          <w:szCs w:val="32"/>
        </w:rPr>
      </w:pPr>
      <w:r>
        <w:rPr>
          <w:rFonts w:eastAsia="仿宋_GB2312"/>
          <w:spacing w:val="-4"/>
          <w:sz w:val="32"/>
          <w:szCs w:val="32"/>
        </w:rPr>
        <w:t>二是</w:t>
      </w:r>
      <w:r>
        <w:rPr>
          <w:rFonts w:hint="eastAsia" w:eastAsia="仿宋_GB2312"/>
          <w:spacing w:val="-4"/>
          <w:sz w:val="32"/>
          <w:szCs w:val="32"/>
        </w:rPr>
        <w:t>及时回应群众关切。</w:t>
      </w:r>
      <w:r>
        <w:rPr>
          <w:rFonts w:eastAsia="仿宋_GB2312"/>
          <w:spacing w:val="-4"/>
          <w:sz w:val="32"/>
          <w:szCs w:val="32"/>
        </w:rPr>
        <w:t>通过新闻媒体及市医保局官网、微信公众号等各类渠道，广泛宣传秦皇岛市医疗保障咨询服务热线591233，让群众诉求第一时间获得解决。</w:t>
      </w:r>
      <w:r>
        <w:rPr>
          <w:rFonts w:hint="eastAsia" w:eastAsia="仿宋_GB2312"/>
          <w:spacing w:val="-4"/>
          <w:sz w:val="32"/>
          <w:szCs w:val="32"/>
        </w:rPr>
        <w:t>全年通过市医保局官网“网民互动交流功能”受理并答复群众各类医疗保障问题咨询</w:t>
      </w:r>
      <w:r>
        <w:rPr>
          <w:rFonts w:eastAsia="仿宋_GB2312"/>
          <w:spacing w:val="-4"/>
          <w:sz w:val="32"/>
          <w:szCs w:val="32"/>
        </w:rPr>
        <w:t>28</w:t>
      </w:r>
      <w:r>
        <w:rPr>
          <w:rFonts w:hint="eastAsia" w:eastAsia="仿宋_GB2312"/>
          <w:spacing w:val="-4"/>
          <w:sz w:val="32"/>
          <w:szCs w:val="32"/>
        </w:rPr>
        <w:t>条，</w:t>
      </w:r>
      <w:r>
        <w:rPr>
          <w:rFonts w:eastAsia="仿宋_GB2312"/>
          <w:spacing w:val="-4"/>
          <w:sz w:val="32"/>
          <w:szCs w:val="32"/>
        </w:rPr>
        <w:t>对所有留言网民均做到电话回访，</w:t>
      </w:r>
      <w:r>
        <w:rPr>
          <w:rFonts w:hint="eastAsia" w:eastAsia="仿宋_GB2312"/>
          <w:spacing w:val="-4"/>
          <w:sz w:val="32"/>
          <w:szCs w:val="32"/>
        </w:rPr>
        <w:t>及时答复率100%，</w:t>
      </w:r>
      <w:r>
        <w:rPr>
          <w:rFonts w:eastAsia="仿宋_GB2312"/>
          <w:spacing w:val="-4"/>
          <w:sz w:val="32"/>
          <w:szCs w:val="32"/>
        </w:rPr>
        <w:t>让群众在平时遇到的各类医疗保障相关问题得到妥善的解决或解答，</w:t>
      </w:r>
      <w:r>
        <w:rPr>
          <w:rFonts w:hint="eastAsia" w:eastAsia="仿宋_GB2312"/>
          <w:spacing w:val="-4"/>
          <w:sz w:val="32"/>
          <w:szCs w:val="32"/>
        </w:rPr>
        <w:t>未发生过重复信访问题。</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仿宋_GB2312"/>
          <w:spacing w:val="-4"/>
          <w:sz w:val="32"/>
          <w:szCs w:val="32"/>
        </w:rPr>
      </w:pPr>
      <w:r>
        <w:rPr>
          <w:rFonts w:eastAsia="仿宋_GB2312"/>
          <w:spacing w:val="-4"/>
          <w:sz w:val="32"/>
          <w:szCs w:val="32"/>
        </w:rPr>
        <w:t>三是建立</w:t>
      </w:r>
      <w:r>
        <w:rPr>
          <w:rFonts w:hint="eastAsia" w:eastAsia="仿宋_GB2312"/>
          <w:spacing w:val="-4"/>
          <w:sz w:val="32"/>
          <w:szCs w:val="32"/>
        </w:rPr>
        <w:t>“秦皇岛医疗保障”</w:t>
      </w:r>
      <w:r>
        <w:rPr>
          <w:rFonts w:eastAsia="仿宋_GB2312"/>
          <w:spacing w:val="-4"/>
          <w:sz w:val="32"/>
          <w:szCs w:val="32"/>
        </w:rPr>
        <w:t>抖音号。2023年，市医保局进一步拓展政策宣传阵地，建立了</w:t>
      </w:r>
      <w:r>
        <w:rPr>
          <w:rFonts w:hint="eastAsia" w:eastAsia="仿宋_GB2312"/>
          <w:spacing w:val="-4"/>
          <w:sz w:val="32"/>
          <w:szCs w:val="32"/>
        </w:rPr>
        <w:t>“秦皇岛医疗保障”</w:t>
      </w:r>
      <w:r>
        <w:rPr>
          <w:rFonts w:eastAsia="仿宋_GB2312"/>
          <w:spacing w:val="-4"/>
          <w:sz w:val="32"/>
          <w:szCs w:val="32"/>
        </w:rPr>
        <w:t>抖音号，并及时发布各类医保政策宣传视频和动漫短视频，以平易近人的方式，宣传医保政策，让医保政策更加通俗易懂。通过抖音号全年制作并发布医保政策短视频104个，粉丝数达到8000人。</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仿宋_GB2312"/>
          <w:spacing w:val="-4"/>
          <w:sz w:val="32"/>
          <w:szCs w:val="32"/>
        </w:rPr>
      </w:pPr>
      <w:r>
        <w:rPr>
          <w:rFonts w:eastAsia="仿宋_GB2312"/>
          <w:spacing w:val="-4"/>
          <w:sz w:val="32"/>
          <w:szCs w:val="32"/>
        </w:rPr>
        <w:t>四是依法主动公开政府信息，不断提升政府信息公开工作的质量。在局官网首页发布和群众密切相关的《关于职工基本医疗保险个人账户资金支付使用有关事宜的通知》《关于调整职工普通门诊待遇的通知》等多项政策，并均进行了政策解读。</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仿宋_GB2312"/>
          <w:spacing w:val="-4"/>
          <w:sz w:val="32"/>
          <w:szCs w:val="32"/>
        </w:rPr>
      </w:pPr>
      <w:r>
        <w:rPr>
          <w:rFonts w:eastAsia="仿宋_GB2312"/>
          <w:spacing w:val="-4"/>
          <w:sz w:val="32"/>
          <w:szCs w:val="32"/>
        </w:rPr>
        <w:t>五是认真做好依申请公开。在我局官方网站发布《秦皇岛市医疗保障局政府信息公开指南》，为公民、法人或其他组织向国家医保局申请政府信息公开提供指引。全年收到政府信息公开申请0件。</w:t>
      </w:r>
    </w:p>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黑体"/>
          <w:spacing w:val="-4"/>
          <w:sz w:val="32"/>
          <w:szCs w:val="32"/>
        </w:rPr>
      </w:pPr>
      <w:r>
        <w:rPr>
          <w:rFonts w:eastAsia="黑体"/>
          <w:spacing w:val="-4"/>
          <w:sz w:val="32"/>
          <w:szCs w:val="32"/>
        </w:rPr>
        <w:t>二、主动公开政府信息情况</w:t>
      </w: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信息内容</w:t>
            </w:r>
          </w:p>
        </w:tc>
        <w:tc>
          <w:tcPr>
            <w:tcW w:w="2435" w:type="dxa"/>
            <w:tcBorders>
              <w:top w:val="single" w:color="auto" w:sz="8" w:space="0"/>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本年</w:t>
            </w:r>
            <w:r>
              <w:rPr>
                <w:rFonts w:eastAsia="宋体"/>
                <w:color w:val="333333"/>
                <w:spacing w:val="0"/>
                <w:sz w:val="20"/>
                <w:szCs w:val="20"/>
              </w:rPr>
              <w:t>制发件数</w:t>
            </w:r>
          </w:p>
        </w:tc>
        <w:tc>
          <w:tcPr>
            <w:tcW w:w="2435" w:type="dxa"/>
            <w:tcBorders>
              <w:top w:val="single" w:color="auto" w:sz="8" w:space="0"/>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本年废止件数</w:t>
            </w:r>
          </w:p>
        </w:tc>
        <w:tc>
          <w:tcPr>
            <w:tcW w:w="2435" w:type="dxa"/>
            <w:tcBorders>
              <w:top w:val="single" w:color="auto" w:sz="8" w:space="0"/>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000000"/>
                <w:spacing w:val="0"/>
                <w:sz w:val="20"/>
                <w:szCs w:val="20"/>
              </w:rPr>
            </w:pPr>
            <w:r>
              <w:rPr>
                <w:rFonts w:eastAsia="宋体"/>
                <w:color w:val="000000"/>
                <w:spacing w:val="0"/>
                <w:sz w:val="20"/>
                <w:szCs w:val="20"/>
              </w:rPr>
              <w:t>现行有效件</w:t>
            </w:r>
            <w:r>
              <w:rPr>
                <w:rFonts w:eastAsia="宋体"/>
                <w:color w:val="333333"/>
                <w:spacing w:val="0"/>
                <w:sz w:val="20"/>
                <w:szCs w:val="2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规章</w:t>
            </w:r>
          </w:p>
        </w:tc>
        <w:tc>
          <w:tcPr>
            <w:tcW w:w="2435" w:type="dxa"/>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　　0</w:t>
            </w:r>
          </w:p>
        </w:tc>
        <w:tc>
          <w:tcPr>
            <w:tcW w:w="2435" w:type="dxa"/>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 　0</w:t>
            </w:r>
          </w:p>
        </w:tc>
        <w:tc>
          <w:tcPr>
            <w:tcW w:w="2435" w:type="dxa"/>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rPr>
                <w:rFonts w:eastAsia="宋体"/>
                <w:color w:val="333333"/>
                <w:spacing w:val="0"/>
                <w:sz w:val="24"/>
                <w:szCs w:val="24"/>
              </w:rPr>
            </w:pPr>
            <w:r>
              <w:rPr>
                <w:rFonts w:eastAsia="宋体"/>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行政规范性文件</w:t>
            </w:r>
          </w:p>
        </w:tc>
        <w:tc>
          <w:tcPr>
            <w:tcW w:w="2435" w:type="dxa"/>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　　0</w:t>
            </w:r>
          </w:p>
        </w:tc>
        <w:tc>
          <w:tcPr>
            <w:tcW w:w="2435" w:type="dxa"/>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 　0</w:t>
            </w:r>
          </w:p>
        </w:tc>
        <w:tc>
          <w:tcPr>
            <w:tcW w:w="2435" w:type="dxa"/>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rPr>
                <w:rFonts w:eastAsia="宋体"/>
                <w:color w:val="333333"/>
                <w:spacing w:val="0"/>
                <w:sz w:val="24"/>
                <w:szCs w:val="24"/>
              </w:rPr>
            </w:pPr>
            <w:r>
              <w:rPr>
                <w:rFonts w:eastAsia="宋体"/>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信息内容</w:t>
            </w:r>
          </w:p>
        </w:tc>
        <w:tc>
          <w:tcPr>
            <w:tcW w:w="7305" w:type="dxa"/>
            <w:gridSpan w:val="3"/>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行政许可</w:t>
            </w:r>
          </w:p>
        </w:tc>
        <w:tc>
          <w:tcPr>
            <w:tcW w:w="7305" w:type="dxa"/>
            <w:gridSpan w:val="3"/>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firstLine="240" w:firstLineChars="100"/>
              <w:rPr>
                <w:rFonts w:eastAsia="宋体"/>
                <w:color w:val="333333"/>
                <w:spacing w:val="0"/>
                <w:sz w:val="24"/>
                <w:szCs w:val="24"/>
              </w:rPr>
            </w:pPr>
            <w:r>
              <w:rPr>
                <w:rFonts w:eastAsia="宋体"/>
                <w:color w:val="333333"/>
                <w:spacing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firstLine="0"/>
              <w:jc w:val="center"/>
              <w:rPr>
                <w:rFonts w:eastAsia="宋体"/>
                <w:color w:val="333333"/>
                <w:spacing w:val="0"/>
                <w:sz w:val="21"/>
                <w:szCs w:val="21"/>
              </w:rPr>
            </w:pPr>
            <w:r>
              <w:rPr>
                <w:rFonts w:eastAsia="宋体"/>
                <w:color w:val="000000"/>
                <w:spacing w:val="0"/>
                <w:sz w:val="20"/>
                <w:szCs w:val="20"/>
              </w:rPr>
              <w:t>信息内容</w:t>
            </w:r>
          </w:p>
        </w:tc>
        <w:tc>
          <w:tcPr>
            <w:tcW w:w="7305" w:type="dxa"/>
            <w:gridSpan w:val="3"/>
            <w:tcBorders>
              <w:top w:val="single" w:color="auto" w:sz="8" w:space="0"/>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firstLine="0"/>
              <w:jc w:val="center"/>
              <w:rPr>
                <w:rFonts w:eastAsia="宋体"/>
                <w:color w:val="333333"/>
                <w:spacing w:val="0"/>
                <w:sz w:val="21"/>
                <w:szCs w:val="21"/>
              </w:rPr>
            </w:pPr>
            <w:r>
              <w:rPr>
                <w:rFonts w:eastAsia="宋体"/>
                <w:color w:val="00000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行政处罚</w:t>
            </w:r>
          </w:p>
        </w:tc>
        <w:tc>
          <w:tcPr>
            <w:tcW w:w="7305" w:type="dxa"/>
            <w:gridSpan w:val="3"/>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　 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行政强制</w:t>
            </w:r>
          </w:p>
        </w:tc>
        <w:tc>
          <w:tcPr>
            <w:tcW w:w="7305" w:type="dxa"/>
            <w:gridSpan w:val="3"/>
            <w:tcBorders>
              <w:top w:val="nil"/>
              <w:left w:val="nil"/>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auto"/>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信息内容</w:t>
            </w:r>
          </w:p>
        </w:tc>
        <w:tc>
          <w:tcPr>
            <w:tcW w:w="7305" w:type="dxa"/>
            <w:gridSpan w:val="3"/>
            <w:tcBorders>
              <w:top w:val="nil"/>
              <w:left w:val="nil"/>
              <w:bottom w:val="single" w:color="auto" w:sz="8" w:space="0"/>
              <w:right w:val="single" w:color="000000" w:sz="8" w:space="0"/>
              <w:tl2br w:val="nil"/>
              <w:tr2bl w:val="nil"/>
            </w:tcBorders>
            <w:vAlign w:val="center"/>
          </w:tcPr>
          <w:p>
            <w:pPr>
              <w:spacing w:before="0" w:beforeAutospacing="0" w:after="0" w:afterAutospacing="0"/>
              <w:ind w:left="0" w:right="0"/>
              <w:jc w:val="center"/>
              <w:rPr>
                <w:rFonts w:eastAsia="宋体"/>
                <w:color w:val="333333"/>
                <w:spacing w:val="0"/>
                <w:sz w:val="21"/>
                <w:szCs w:val="21"/>
              </w:rPr>
            </w:pPr>
            <w:r>
              <w:rPr>
                <w:rFonts w:eastAsia="宋体"/>
                <w:color w:val="000000"/>
                <w:spacing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1"/>
                <w:szCs w:val="21"/>
              </w:rPr>
            </w:pPr>
            <w:r>
              <w:rPr>
                <w:rFonts w:eastAsia="宋体"/>
                <w:color w:val="000000"/>
                <w:spacing w:val="0"/>
                <w:sz w:val="20"/>
                <w:szCs w:val="20"/>
              </w:rPr>
              <w:t>行政事业性收费</w:t>
            </w:r>
          </w:p>
        </w:tc>
        <w:tc>
          <w:tcPr>
            <w:tcW w:w="7305" w:type="dxa"/>
            <w:gridSpan w:val="3"/>
            <w:tcBorders>
              <w:top w:val="nil"/>
              <w:left w:val="nil"/>
              <w:bottom w:val="single" w:color="auto" w:sz="8" w:space="0"/>
              <w:right w:val="single" w:color="000000" w:sz="8" w:space="0"/>
              <w:tl2br w:val="nil"/>
              <w:tr2bl w:val="nil"/>
            </w:tcBorders>
            <w:vAlign w:val="center"/>
          </w:tcPr>
          <w:p>
            <w:pPr>
              <w:spacing w:before="0" w:beforeAutospacing="0" w:after="0" w:afterAutospacing="0"/>
              <w:ind w:left="0" w:right="0" w:firstLine="240" w:firstLineChars="100"/>
              <w:rPr>
                <w:rFonts w:eastAsia="宋体"/>
                <w:color w:val="333333"/>
                <w:spacing w:val="0"/>
                <w:sz w:val="24"/>
                <w:szCs w:val="24"/>
              </w:rPr>
            </w:pPr>
            <w:r>
              <w:rPr>
                <w:rFonts w:eastAsia="宋体"/>
                <w:color w:val="333333"/>
                <w:spacing w:val="0"/>
                <w:sz w:val="24"/>
                <w:szCs w:val="24"/>
              </w:rPr>
              <w:t>0</w:t>
            </w:r>
          </w:p>
        </w:tc>
      </w:tr>
    </w:tbl>
    <w:p>
      <w:pPr>
        <w:keepNext w:val="0"/>
        <w:keepLines w:val="0"/>
        <w:pageBreakBefore w:val="0"/>
        <w:widowControl w:val="0"/>
        <w:kinsoku/>
        <w:wordWrap/>
        <w:overflowPunct/>
        <w:topLinePunct w:val="0"/>
        <w:autoSpaceDE/>
        <w:autoSpaceDN/>
        <w:bidi w:val="0"/>
        <w:adjustRightInd/>
        <w:snapToGrid/>
        <w:spacing w:line="589" w:lineRule="exact"/>
        <w:ind w:firstLine="624" w:firstLineChars="200"/>
        <w:jc w:val="left"/>
        <w:textAlignment w:val="auto"/>
        <w:rPr>
          <w:rFonts w:eastAsia="黑体"/>
          <w:spacing w:val="-4"/>
          <w:sz w:val="32"/>
          <w:szCs w:val="32"/>
        </w:rPr>
      </w:pPr>
      <w:r>
        <w:rPr>
          <w:rFonts w:eastAsia="黑体"/>
          <w:spacing w:val="-4"/>
          <w:sz w:val="32"/>
          <w:szCs w:val="32"/>
        </w:rPr>
        <w:t>三、收到和处理政府信息公开申请情况</w:t>
      </w:r>
    </w:p>
    <w:tbl>
      <w:tblPr>
        <w:tblStyle w:val="8"/>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53"/>
        <w:gridCol w:w="921"/>
        <w:gridCol w:w="3272"/>
        <w:gridCol w:w="686"/>
        <w:gridCol w:w="686"/>
        <w:gridCol w:w="686"/>
        <w:gridCol w:w="686"/>
        <w:gridCol w:w="686"/>
        <w:gridCol w:w="686"/>
        <w:gridCol w:w="6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楷体_GB2312"/>
                <w:color w:val="333333"/>
                <w:spacing w:val="0"/>
                <w:sz w:val="20"/>
                <w:szCs w:val="20"/>
              </w:rPr>
            </w:pPr>
            <w:r>
              <w:rPr>
                <w:rFonts w:eastAsia="楷体"/>
                <w:color w:val="333333"/>
                <w:spacing w:val="0"/>
                <w:sz w:val="20"/>
                <w:szCs w:val="20"/>
              </w:rPr>
              <w:t>（本列数据的勾稽关系为：第一项加第二项之和，等于第三项加第四项之和）</w:t>
            </w:r>
          </w:p>
        </w:tc>
        <w:tc>
          <w:tcPr>
            <w:tcW w:w="4802" w:type="dxa"/>
            <w:gridSpan w:val="7"/>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86" w:type="dxa"/>
            <w:vMerge w:val="restart"/>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自然人</w:t>
            </w:r>
          </w:p>
        </w:tc>
        <w:tc>
          <w:tcPr>
            <w:tcW w:w="3430" w:type="dxa"/>
            <w:gridSpan w:val="5"/>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法人或其他组织</w:t>
            </w:r>
          </w:p>
        </w:tc>
        <w:tc>
          <w:tcPr>
            <w:tcW w:w="686" w:type="dxa"/>
            <w:vMerge w:val="restart"/>
            <w:tcBorders>
              <w:top w:val="single" w:color="auto" w:sz="8" w:space="0"/>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86" w:type="dxa"/>
            <w:vMerge w:val="continue"/>
            <w:tcBorders>
              <w:top w:val="nil"/>
              <w:left w:val="nil"/>
              <w:bottom w:val="single" w:color="auto" w:sz="8" w:space="0"/>
              <w:right w:val="single" w:color="auto" w:sz="8" w:space="0"/>
              <w:tl2br w:val="nil"/>
              <w:tr2bl w:val="nil"/>
            </w:tcBorders>
            <w:vAlign w:val="center"/>
          </w:tc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商业</w:t>
            </w:r>
          </w:p>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企业</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科研</w:t>
            </w:r>
          </w:p>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机构</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社会公益组织</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法律服务机构</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其他</w:t>
            </w:r>
          </w:p>
        </w:tc>
        <w:tc>
          <w:tcPr>
            <w:tcW w:w="686" w:type="dxa"/>
            <w:vMerge w:val="continue"/>
            <w:tcBorders>
              <w:top w:val="single" w:color="auto" w:sz="8" w:space="0"/>
              <w:left w:val="nil"/>
              <w:bottom w:val="inset" w:color="auto" w:sz="8" w:space="0"/>
              <w:right w:val="single" w:color="auto" w:sz="8"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一、本年新收政府信息公开申请数量</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二、上年结转政府信息公开申请数量</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restart"/>
            <w:tcBorders>
              <w:top w:val="nil"/>
              <w:left w:val="single" w:color="auto" w:sz="8" w:space="0"/>
              <w:bottom w:val="inset"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三、本年度办理结果</w:t>
            </w:r>
          </w:p>
        </w:tc>
        <w:tc>
          <w:tcPr>
            <w:tcW w:w="4193" w:type="dxa"/>
            <w:gridSpan w:val="2"/>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（一）予以公开</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single" w:color="auto" w:sz="8" w:space="0"/>
              <w:left w:val="nil"/>
              <w:bottom w:val="single" w:color="auto" w:sz="8" w:space="0"/>
              <w:right w:val="single" w:color="auto" w:sz="8" w:space="0"/>
              <w:tl2br w:val="nil"/>
              <w:tr2bl w:val="nil"/>
            </w:tcBorders>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4193" w:type="dxa"/>
            <w:gridSpan w:val="2"/>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（二）部分公开</w:t>
            </w:r>
            <w:r>
              <w:rPr>
                <w:rFonts w:eastAsia="楷体"/>
                <w:color w:val="333333"/>
                <w:spacing w:val="0"/>
                <w:sz w:val="20"/>
                <w:szCs w:val="20"/>
              </w:rPr>
              <w:t>（区分处理的，只计这一情形，不计其他情形）</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 0</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eastAsia="宋体"/>
                <w:color w:val="333333"/>
                <w:spacing w:val="0"/>
                <w:sz w:val="20"/>
                <w:szCs w:val="20"/>
              </w:rPr>
            </w:pPr>
            <w:r>
              <w:rPr>
                <w:rFonts w:eastAsia="宋体"/>
                <w:color w:val="333333"/>
                <w:spacing w:val="0"/>
                <w:sz w:val="20"/>
                <w:szCs w:val="20"/>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（三）不予公开</w:t>
            </w: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1.属于国家秘密</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single" w:color="auto" w:sz="8" w:space="0"/>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2.其他法律行政法规禁止公开</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3.危及“三安全一稳定”</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4.保护第三方合法权益</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5.属于三类内部事务信息</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6.属于四类过程性信息</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7.属于行政执法案卷</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8.属于行政查询事项</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（四）无法提供</w:t>
            </w: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1.本机关不掌握相关政府信息</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2.没有现成信息需要另行制作</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3.补正后申请内容仍不明确</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（五）不予处理</w:t>
            </w: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1.信访举报投诉类申请</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2.重复申请</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3.要求提供公开出版物</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4.无正当理由大量反复申请</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rPr>
                <w:rFonts w:eastAsia="宋体"/>
                <w:color w:val="333333"/>
                <w:spacing w:val="0"/>
                <w:sz w:val="20"/>
                <w:szCs w:val="20"/>
              </w:rPr>
            </w:pPr>
            <w:r>
              <w:rPr>
                <w:rFonts w:eastAsia="宋体"/>
                <w:color w:val="333333"/>
                <w:spacing w:val="0"/>
                <w:sz w:val="20"/>
                <w:szCs w:val="20"/>
              </w:rPr>
              <w:t>5.要求行政机关确认或重新出具已获取信息</w:t>
            </w:r>
          </w:p>
        </w:tc>
        <w:tc>
          <w:tcPr>
            <w:tcW w:w="686" w:type="dxa"/>
            <w:tcBorders>
              <w:top w:val="nil"/>
              <w:left w:val="nil"/>
              <w:bottom w:val="inset"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inset"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inset"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inset"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inset"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inset" w:color="auto" w:sz="8" w:space="0"/>
              <w:right w:val="single" w:color="auto" w:sz="8" w:space="0"/>
              <w:tl2br w:val="nil"/>
              <w:tr2bl w:val="nil"/>
            </w:tcBorders>
          </w:tcPr>
          <w:p>
            <w:r>
              <w:rPr>
                <w:rFonts w:eastAsia="宋体"/>
                <w:color w:val="333333"/>
                <w:spacing w:val="0"/>
                <w:sz w:val="20"/>
                <w:szCs w:val="20"/>
              </w:rPr>
              <w:t>0</w:t>
            </w:r>
          </w:p>
        </w:tc>
        <w:tc>
          <w:tcPr>
            <w:tcW w:w="686" w:type="dxa"/>
            <w:tcBorders>
              <w:top w:val="nil"/>
              <w:left w:val="nil"/>
              <w:bottom w:val="inset"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inset" w:color="auto" w:sz="8" w:space="0"/>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（六）其他处理</w:t>
            </w:r>
          </w:p>
        </w:tc>
        <w:tc>
          <w:tcPr>
            <w:tcW w:w="3272"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rPr>
                <w:rFonts w:eastAsia="宋体"/>
                <w:color w:val="333333"/>
                <w:spacing w:val="0"/>
                <w:sz w:val="20"/>
                <w:szCs w:val="20"/>
              </w:rPr>
            </w:pPr>
            <w:r>
              <w:rPr>
                <w:rFonts w:eastAsia="宋体"/>
                <w:color w:val="333333"/>
                <w:spacing w:val="0"/>
                <w:sz w:val="20"/>
                <w:szCs w:val="20"/>
              </w:rPr>
              <w:t>1.申请人无正当理由逾期不补正、行政机关不再处理其政府信息公开申请</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inset" w:color="auto" w:sz="8" w:space="0"/>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rPr>
                <w:rFonts w:eastAsia="宋体"/>
                <w:color w:val="333333"/>
                <w:spacing w:val="0"/>
                <w:sz w:val="20"/>
                <w:szCs w:val="20"/>
              </w:rPr>
            </w:pPr>
            <w:r>
              <w:rPr>
                <w:rFonts w:eastAsia="宋体"/>
                <w:color w:val="333333"/>
                <w:spacing w:val="0"/>
                <w:sz w:val="20"/>
                <w:szCs w:val="20"/>
              </w:rPr>
              <w:t>2.申请人逾期未按收费通知要求缴纳费用、行政机关不再处理其政府信息公开申请</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inset" w:color="auto" w:sz="8" w:space="0"/>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3.其他</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4193" w:type="dxa"/>
            <w:gridSpan w:val="2"/>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（七）总计</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rPr>
                <w:rFonts w:eastAsia="宋体"/>
                <w:color w:val="333333"/>
                <w:spacing w:val="0"/>
                <w:sz w:val="20"/>
                <w:szCs w:val="20"/>
              </w:rPr>
            </w:pPr>
            <w:r>
              <w:rPr>
                <w:rFonts w:eastAsia="宋体"/>
                <w:color w:val="333333"/>
                <w:spacing w:val="0"/>
                <w:sz w:val="20"/>
                <w:szCs w:val="20"/>
              </w:rPr>
              <w:t>0 </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eastAsia="宋体"/>
                <w:color w:val="333333"/>
                <w:spacing w:val="0"/>
                <w:sz w:val="20"/>
                <w:szCs w:val="20"/>
              </w:rPr>
            </w:pPr>
            <w:r>
              <w:rPr>
                <w:rFonts w:eastAsia="宋体"/>
                <w:color w:val="333333"/>
                <w:spacing w:val="0"/>
                <w:sz w:val="20"/>
                <w:szCs w:val="20"/>
              </w:rPr>
              <w:t>四、结转下年度继续办理</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vAlign w:val="center"/>
          </w:tcPr>
          <w:p>
            <w:r>
              <w:rPr>
                <w:rFonts w:eastAsia="宋体"/>
                <w:color w:val="333333"/>
                <w:spacing w:val="0"/>
                <w:sz w:val="20"/>
                <w:szCs w:val="20"/>
              </w:rPr>
              <w:t>0</w:t>
            </w:r>
          </w:p>
        </w:tc>
        <w:tc>
          <w:tcPr>
            <w:tcW w:w="686" w:type="dxa"/>
            <w:tcBorders>
              <w:top w:val="nil"/>
              <w:left w:val="nil"/>
              <w:bottom w:val="single" w:color="auto" w:sz="8" w:space="0"/>
              <w:right w:val="single" w:color="auto" w:sz="8" w:space="0"/>
              <w:tl2br w:val="nil"/>
              <w:tr2bl w:val="nil"/>
            </w:tcBorders>
          </w:tcPr>
          <w:p>
            <w:r>
              <w:rPr>
                <w:rFonts w:eastAsia="宋体"/>
                <w:color w:val="333333"/>
                <w:spacing w:val="0"/>
                <w:sz w:val="20"/>
                <w:szCs w:val="20"/>
              </w:rPr>
              <w:t>0</w:t>
            </w:r>
          </w:p>
        </w:tc>
      </w:tr>
    </w:tbl>
    <w:p>
      <w:pPr>
        <w:keepNext w:val="0"/>
        <w:keepLines w:val="0"/>
        <w:pageBreakBefore w:val="0"/>
        <w:widowControl w:val="0"/>
        <w:kinsoku/>
        <w:wordWrap/>
        <w:overflowPunct/>
        <w:topLinePunct w:val="0"/>
        <w:autoSpaceDE/>
        <w:autoSpaceDN/>
        <w:bidi w:val="0"/>
        <w:adjustRightInd/>
        <w:snapToGrid/>
        <w:spacing w:line="589" w:lineRule="exact"/>
        <w:ind w:firstLine="640" w:firstLineChars="200"/>
        <w:jc w:val="left"/>
        <w:textAlignment w:val="auto"/>
        <w:rPr>
          <w:rFonts w:eastAsia="仿宋_GB2312"/>
          <w:spacing w:val="-4"/>
          <w:sz w:val="32"/>
          <w:szCs w:val="32"/>
        </w:rPr>
      </w:pPr>
      <w:r>
        <w:rPr>
          <w:rFonts w:eastAsia="黑体"/>
          <w:i w:val="0"/>
          <w:caps w:val="0"/>
          <w:smallCaps w:val="0"/>
          <w:color w:val="000000"/>
          <w:spacing w:val="0"/>
          <w:kern w:val="0"/>
          <w:sz w:val="32"/>
          <w:szCs w:val="32"/>
          <w:lang w:val="en-US" w:eastAsia="zh-CN"/>
        </w:rPr>
        <w:t>四、政府信息公开行政复议、行政诉讼情况</w:t>
      </w:r>
    </w:p>
    <w:tbl>
      <w:tblPr>
        <w:tblStyle w:val="8"/>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eastAsia="宋体"/>
                <w:color w:val="333333"/>
                <w:sz w:val="19"/>
                <w:szCs w:val="19"/>
              </w:rPr>
            </w:pPr>
            <w:r>
              <w:rPr>
                <w:rFonts w:eastAsia="宋体"/>
                <w:i w:val="0"/>
                <w:caps w:val="0"/>
                <w:smallCaps w:val="0"/>
                <w:color w:val="000000"/>
                <w:spacing w:val="0"/>
                <w:kern w:val="0"/>
                <w:sz w:val="24"/>
                <w:szCs w:val="24"/>
                <w:lang w:val="en-US" w:eastAsia="zh-CN"/>
              </w:rPr>
              <w:t> </w:t>
            </w:r>
            <w:r>
              <w:rPr>
                <w:rFonts w:eastAsia="宋体"/>
                <w:color w:val="333333"/>
                <w:kern w:val="0"/>
                <w:sz w:val="19"/>
                <w:szCs w:val="19"/>
                <w:lang w:val="en-US" w:eastAsia="zh-CN"/>
              </w:rPr>
              <w:t>行政复议</w:t>
            </w:r>
          </w:p>
        </w:tc>
        <w:tc>
          <w:tcPr>
            <w:tcW w:w="5997" w:type="dxa"/>
            <w:gridSpan w:val="10"/>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结果维持</w:t>
            </w:r>
          </w:p>
        </w:tc>
        <w:tc>
          <w:tcPr>
            <w:tcW w:w="604" w:type="dxa"/>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总计</w:t>
            </w:r>
          </w:p>
        </w:tc>
        <w:tc>
          <w:tcPr>
            <w:tcW w:w="2970"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vAlign w:val="center"/>
          </w:tcPr>
          <w:p/>
        </w:tc>
        <w:tc>
          <w:tcPr>
            <w:tcW w:w="604" w:type="dxa"/>
            <w:vMerge w:val="continue"/>
            <w:tcBorders>
              <w:top w:val="nil"/>
              <w:left w:val="nil"/>
              <w:bottom w:val="single" w:color="auto" w:sz="8" w:space="0"/>
              <w:right w:val="single" w:color="auto" w:sz="8" w:space="0"/>
            </w:tcBorders>
            <w:shd w:val="clear" w:color="auto" w:fill="auto"/>
            <w:vAlign w:val="center"/>
          </w:tcPr>
          <w:p/>
        </w:tc>
        <w:tc>
          <w:tcPr>
            <w:tcW w:w="604" w:type="dxa"/>
            <w:vMerge w:val="continue"/>
            <w:tcBorders>
              <w:top w:val="single" w:color="auto" w:sz="8" w:space="0"/>
              <w:left w:val="nil"/>
              <w:bottom w:val="single" w:color="auto" w:sz="8" w:space="0"/>
              <w:right w:val="single" w:color="auto" w:sz="8" w:space="0"/>
            </w:tcBorders>
            <w:shd w:val="clear" w:color="auto" w:fill="auto"/>
            <w:vAlign w:val="center"/>
          </w:tcPr>
          <w:p/>
        </w:tc>
        <w:tc>
          <w:tcPr>
            <w:tcW w:w="604" w:type="dxa"/>
            <w:vMerge w:val="continue"/>
            <w:tcBorders>
              <w:top w:val="single" w:color="auto" w:sz="8" w:space="0"/>
              <w:left w:val="nil"/>
              <w:bottom w:val="single" w:color="auto" w:sz="8" w:space="0"/>
              <w:right w:val="single" w:color="auto" w:sz="8" w:space="0"/>
            </w:tcBorders>
            <w:shd w:val="clear" w:color="auto" w:fill="auto"/>
            <w:vAlign w:val="center"/>
          </w:tcPr>
          <w:p/>
        </w:tc>
        <w:tc>
          <w:tcPr>
            <w:tcW w:w="658" w:type="dxa"/>
            <w:vMerge w:val="continue"/>
            <w:tcBorders>
              <w:top w:val="single" w:color="auto" w:sz="8" w:space="0"/>
              <w:left w:val="nil"/>
              <w:bottom w:val="single" w:color="auto" w:sz="8" w:space="0"/>
              <w:right w:val="single" w:color="auto" w:sz="8" w:space="0"/>
            </w:tcBorders>
            <w:shd w:val="clear" w:color="auto" w:fill="auto"/>
            <w:vAlign w:val="center"/>
          </w:tcPr>
          <w:p/>
        </w:tc>
        <w:tc>
          <w:tcPr>
            <w:tcW w:w="5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结果维持</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其他结果</w:t>
            </w:r>
          </w:p>
        </w:tc>
        <w:tc>
          <w:tcPr>
            <w:tcW w:w="6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尚未审结</w:t>
            </w:r>
          </w:p>
        </w:tc>
        <w:tc>
          <w:tcPr>
            <w:tcW w:w="6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总计</w:t>
            </w:r>
          </w:p>
        </w:tc>
        <w:tc>
          <w:tcPr>
            <w:tcW w:w="6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结果维持</w:t>
            </w:r>
          </w:p>
        </w:tc>
        <w:tc>
          <w:tcPr>
            <w:tcW w:w="6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其他结果</w:t>
            </w:r>
          </w:p>
        </w:tc>
        <w:tc>
          <w:tcPr>
            <w:tcW w:w="606"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尚未审结</w:t>
            </w:r>
          </w:p>
        </w:tc>
        <w:tc>
          <w:tcPr>
            <w:tcW w:w="606"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eastAsia="宋体"/>
                <w:color w:val="333333"/>
                <w:sz w:val="19"/>
                <w:szCs w:val="19"/>
              </w:rPr>
            </w:pPr>
            <w:r>
              <w:rPr>
                <w:rFonts w:eastAsia="宋体"/>
                <w:color w:val="333333"/>
                <w:kern w:val="0"/>
                <w:sz w:val="19"/>
                <w:szCs w:val="19"/>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58"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550"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c>
          <w:tcPr>
            <w:tcW w:w="6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eastAsia="宋体"/>
                <w:color w:val="333333"/>
                <w:sz w:val="19"/>
                <w:szCs w:val="19"/>
              </w:rPr>
            </w:pPr>
            <w:r>
              <w:rPr>
                <w:rFonts w:eastAsia="宋体"/>
                <w:color w:val="333333"/>
                <w:kern w:val="0"/>
                <w:sz w:val="19"/>
                <w:szCs w:val="19"/>
                <w:lang w:val="en-US" w:eastAsia="zh-CN"/>
              </w:rPr>
              <w:t>0</w:t>
            </w:r>
          </w:p>
        </w:tc>
      </w:tr>
    </w:tbl>
    <w:p>
      <w:pPr>
        <w:pStyle w:val="7"/>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left="0" w:right="0" w:firstLine="482"/>
        <w:jc w:val="left"/>
        <w:textAlignment w:val="auto"/>
        <w:rPr>
          <w:rFonts w:eastAsia="宋体"/>
          <w:i w:val="0"/>
          <w:caps w:val="0"/>
          <w:smallCaps w:val="0"/>
          <w:color w:val="333333"/>
          <w:spacing w:val="0"/>
          <w:sz w:val="19"/>
          <w:szCs w:val="19"/>
        </w:rPr>
      </w:pPr>
      <w:r>
        <w:rPr>
          <w:rFonts w:eastAsia="黑体"/>
          <w:i w:val="0"/>
          <w:caps w:val="0"/>
          <w:smallCaps w:val="0"/>
          <w:color w:val="000000"/>
          <w:spacing w:val="0"/>
          <w:kern w:val="0"/>
          <w:sz w:val="32"/>
          <w:szCs w:val="32"/>
          <w:lang w:val="en-US" w:eastAsia="zh-CN"/>
        </w:rPr>
        <w:t>五、其他政务信息公开情况</w:t>
      </w:r>
    </w:p>
    <w:p>
      <w:pPr>
        <w:pStyle w:val="7"/>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left="0" w:right="0" w:firstLine="482"/>
        <w:jc w:val="left"/>
        <w:textAlignment w:val="auto"/>
        <w:rPr>
          <w:rFonts w:eastAsia="宋体"/>
          <w:i w:val="0"/>
          <w:caps w:val="0"/>
          <w:smallCaps w:val="0"/>
          <w:color w:val="333333"/>
          <w:spacing w:val="0"/>
          <w:sz w:val="19"/>
          <w:szCs w:val="19"/>
        </w:rPr>
      </w:pPr>
      <w:r>
        <w:rPr>
          <w:rFonts w:eastAsia="仿宋"/>
          <w:i w:val="0"/>
          <w:caps w:val="0"/>
          <w:smallCaps w:val="0"/>
          <w:color w:val="000000"/>
          <w:spacing w:val="0"/>
          <w:kern w:val="0"/>
          <w:sz w:val="32"/>
          <w:szCs w:val="32"/>
          <w:lang w:val="en-US" w:eastAsia="zh-CN"/>
        </w:rPr>
        <w:t>1.医保局机关职能、机关设置情况，已在局官网法定公开专栏进行发布并及时更新。</w:t>
      </w:r>
    </w:p>
    <w:p>
      <w:pPr>
        <w:pStyle w:val="7"/>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left="0" w:right="0" w:firstLine="482"/>
        <w:jc w:val="left"/>
        <w:textAlignment w:val="auto"/>
        <w:rPr>
          <w:rFonts w:eastAsia="宋体"/>
          <w:i w:val="0"/>
          <w:caps w:val="0"/>
          <w:smallCaps w:val="0"/>
          <w:color w:val="333333"/>
          <w:spacing w:val="0"/>
          <w:sz w:val="19"/>
          <w:szCs w:val="19"/>
        </w:rPr>
      </w:pPr>
      <w:r>
        <w:rPr>
          <w:rFonts w:eastAsia="仿宋"/>
          <w:i w:val="0"/>
          <w:caps w:val="0"/>
          <w:smallCaps w:val="0"/>
          <w:color w:val="000000"/>
          <w:spacing w:val="0"/>
          <w:kern w:val="0"/>
          <w:sz w:val="32"/>
          <w:szCs w:val="32"/>
          <w:lang w:val="en-US" w:eastAsia="zh-CN"/>
        </w:rPr>
        <w:t>2.已在市政府官网财政预决算公开专栏及局官网公开2023年市医保局财政预算信息。</w:t>
      </w:r>
    </w:p>
    <w:p>
      <w:pPr>
        <w:pStyle w:val="7"/>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left="0" w:right="0" w:firstLine="482"/>
        <w:jc w:val="left"/>
        <w:textAlignment w:val="auto"/>
        <w:rPr>
          <w:rFonts w:eastAsia="宋体"/>
          <w:i w:val="0"/>
          <w:caps w:val="0"/>
          <w:smallCaps w:val="0"/>
          <w:color w:val="333333"/>
          <w:spacing w:val="0"/>
          <w:sz w:val="19"/>
          <w:szCs w:val="19"/>
        </w:rPr>
      </w:pPr>
      <w:r>
        <w:rPr>
          <w:rFonts w:eastAsia="仿宋"/>
          <w:i w:val="0"/>
          <w:caps w:val="0"/>
          <w:smallCaps w:val="0"/>
          <w:color w:val="000000"/>
          <w:spacing w:val="0"/>
          <w:kern w:val="0"/>
          <w:sz w:val="32"/>
          <w:szCs w:val="32"/>
          <w:lang w:val="en-US" w:eastAsia="zh-CN"/>
        </w:rPr>
        <w:t>3.2023年市医疗保障局没有进行重点建设项目，无公示内容。</w:t>
      </w:r>
    </w:p>
    <w:p>
      <w:pPr>
        <w:pStyle w:val="7"/>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left="0" w:right="0" w:firstLine="482"/>
        <w:jc w:val="left"/>
        <w:textAlignment w:val="auto"/>
        <w:rPr>
          <w:rFonts w:eastAsia="宋体"/>
          <w:i w:val="0"/>
          <w:caps w:val="0"/>
          <w:smallCaps w:val="0"/>
          <w:color w:val="333333"/>
          <w:spacing w:val="0"/>
          <w:sz w:val="19"/>
          <w:szCs w:val="19"/>
        </w:rPr>
      </w:pPr>
      <w:r>
        <w:rPr>
          <w:rFonts w:eastAsia="仿宋"/>
          <w:i w:val="0"/>
          <w:caps w:val="0"/>
          <w:smallCaps w:val="0"/>
          <w:color w:val="000000"/>
          <w:spacing w:val="0"/>
          <w:kern w:val="0"/>
          <w:sz w:val="32"/>
          <w:szCs w:val="32"/>
          <w:lang w:val="en-US" w:eastAsia="zh-CN"/>
        </w:rPr>
        <w:t>4.2023年共公示医疗政策措施及政策解读信息4条。</w:t>
      </w:r>
    </w:p>
    <w:p>
      <w:pPr>
        <w:pStyle w:val="7"/>
        <w:keepNext w:val="0"/>
        <w:keepLines w:val="0"/>
        <w:pageBreakBefore w:val="0"/>
        <w:widowControl w:val="0"/>
        <w:suppressLineNumbers w:val="0"/>
        <w:kinsoku/>
        <w:wordWrap/>
        <w:overflowPunct/>
        <w:topLinePunct w:val="0"/>
        <w:autoSpaceDE/>
        <w:autoSpaceDN/>
        <w:bidi w:val="0"/>
        <w:adjustRightInd/>
        <w:snapToGrid/>
        <w:spacing w:before="0" w:after="0" w:line="600" w:lineRule="exact"/>
        <w:ind w:left="0" w:right="0" w:firstLine="482"/>
        <w:jc w:val="left"/>
        <w:textAlignment w:val="auto"/>
        <w:rPr>
          <w:rFonts w:eastAsia="仿宋"/>
          <w:i w:val="0"/>
          <w:caps w:val="0"/>
          <w:smallCaps w:val="0"/>
          <w:color w:val="000000"/>
          <w:spacing w:val="0"/>
          <w:kern w:val="0"/>
          <w:sz w:val="32"/>
          <w:szCs w:val="32"/>
          <w:lang w:val="en-US" w:eastAsia="zh-CN"/>
        </w:rPr>
      </w:pPr>
      <w:r>
        <w:rPr>
          <w:rFonts w:eastAsia="仿宋"/>
          <w:i w:val="0"/>
          <w:caps w:val="0"/>
          <w:smallCaps w:val="0"/>
          <w:color w:val="000000"/>
          <w:spacing w:val="0"/>
          <w:kern w:val="0"/>
          <w:sz w:val="32"/>
          <w:szCs w:val="32"/>
          <w:lang w:val="en-US" w:eastAsia="zh-CN"/>
        </w:rPr>
        <w:t>5.2023年市医保局未进行公务员招考工作，无公示内容。</w:t>
      </w:r>
    </w:p>
    <w:p>
      <w:pPr>
        <w:pStyle w:val="7"/>
        <w:keepNext w:val="0"/>
        <w:keepLines w:val="0"/>
        <w:pageBreakBefore w:val="0"/>
        <w:widowControl w:val="0"/>
        <w:suppressLineNumbers w:val="0"/>
        <w:kinsoku/>
        <w:wordWrap/>
        <w:overflowPunct/>
        <w:topLinePunct w:val="0"/>
        <w:autoSpaceDE/>
        <w:autoSpaceDN/>
        <w:adjustRightInd/>
        <w:snapToGrid/>
        <w:spacing w:line="600" w:lineRule="exact"/>
        <w:ind w:left="0" w:firstLine="482"/>
        <w:jc w:val="left"/>
        <w:rPr>
          <w:rFonts w:eastAsia="黑体"/>
          <w:i w:val="0"/>
          <w:caps w:val="0"/>
          <w:smallCaps w:val="0"/>
          <w:color w:val="000000"/>
          <w:spacing w:val="0"/>
          <w:kern w:val="0"/>
          <w:sz w:val="32"/>
          <w:szCs w:val="32"/>
          <w:lang w:val="en-US" w:eastAsia="zh-CN"/>
        </w:rPr>
      </w:pPr>
      <w:r>
        <w:rPr>
          <w:rFonts w:eastAsia="黑体"/>
          <w:i w:val="0"/>
          <w:caps w:val="0"/>
          <w:smallCaps w:val="0"/>
          <w:color w:val="000000"/>
          <w:spacing w:val="0"/>
          <w:kern w:val="0"/>
          <w:sz w:val="32"/>
          <w:szCs w:val="32"/>
          <w:lang w:val="en-US" w:eastAsia="zh-CN"/>
        </w:rPr>
        <w:t>六、存在的主要问题及改进情况</w:t>
      </w:r>
    </w:p>
    <w:p>
      <w:pPr>
        <w:pStyle w:val="7"/>
        <w:keepNext w:val="0"/>
        <w:keepLines w:val="0"/>
        <w:pageBreakBefore w:val="0"/>
        <w:widowControl w:val="0"/>
        <w:suppressLineNumbers w:val="0"/>
        <w:kinsoku/>
        <w:wordWrap/>
        <w:overflowPunct/>
        <w:topLinePunct w:val="0"/>
        <w:autoSpaceDE/>
        <w:autoSpaceDN/>
        <w:adjustRightInd/>
        <w:snapToGrid/>
        <w:spacing w:line="600" w:lineRule="exact"/>
        <w:ind w:left="0" w:firstLine="482"/>
        <w:jc w:val="left"/>
        <w:rPr>
          <w:rFonts w:eastAsia="黑体"/>
          <w:color w:val="000000"/>
          <w:kern w:val="0"/>
          <w:sz w:val="32"/>
          <w:szCs w:val="32"/>
        </w:rPr>
      </w:pPr>
      <w:r>
        <w:rPr>
          <w:rFonts w:eastAsia="仿宋_GB2312"/>
          <w:i w:val="0"/>
          <w:caps w:val="0"/>
          <w:smallCaps w:val="0"/>
          <w:color w:val="333333"/>
          <w:spacing w:val="0"/>
          <w:kern w:val="0"/>
          <w:sz w:val="32"/>
          <w:szCs w:val="32"/>
          <w:lang w:val="en-US" w:eastAsia="zh-CN"/>
        </w:rPr>
        <w:t>医疗保障信息发布时效性还有待进一步加强，医疗保障改革在深入进行中，未来会有很多相关政策调整或医保新政策出台，及时让群众知晓最新政策，增进对医保工作的理解支持十分必要。下一步，将继续优化医保信息发布流程，提高政策信息发布的时效性。</w:t>
      </w:r>
    </w:p>
    <w:p>
      <w:pPr>
        <w:keepNext w:val="0"/>
        <w:keepLines w:val="0"/>
        <w:pageBreakBefore w:val="0"/>
        <w:widowControl w:val="0"/>
        <w:kinsoku/>
        <w:wordWrap w:val="0"/>
        <w:overflowPunct/>
        <w:topLinePunct w:val="0"/>
        <w:autoSpaceDE/>
        <w:autoSpaceDN/>
        <w:bidi w:val="0"/>
        <w:adjustRightInd/>
        <w:snapToGrid/>
        <w:spacing w:line="589" w:lineRule="exact"/>
        <w:ind w:firstLine="624" w:firstLineChars="200"/>
        <w:jc w:val="right"/>
        <w:textAlignment w:val="auto"/>
        <w:rPr>
          <w:rFonts w:eastAsia="仿宋_GB2312"/>
          <w:spacing w:val="-4"/>
          <w:sz w:val="32"/>
          <w:szCs w:val="32"/>
        </w:rPr>
      </w:pPr>
      <w:r>
        <w:rPr>
          <w:rFonts w:eastAsia="仿宋_GB2312"/>
          <w:spacing w:val="-4"/>
          <w:sz w:val="32"/>
          <w:szCs w:val="32"/>
        </w:rPr>
        <w:t xml:space="preserve">秦皇岛市医疗保障局       </w:t>
      </w:r>
    </w:p>
    <w:p>
      <w:pPr>
        <w:keepNext w:val="0"/>
        <w:keepLines w:val="0"/>
        <w:pageBreakBefore w:val="0"/>
        <w:widowControl w:val="0"/>
        <w:kinsoku/>
        <w:wordWrap w:val="0"/>
        <w:overflowPunct/>
        <w:topLinePunct w:val="0"/>
        <w:autoSpaceDE/>
        <w:autoSpaceDN/>
        <w:bidi w:val="0"/>
        <w:adjustRightInd/>
        <w:snapToGrid/>
        <w:spacing w:line="589" w:lineRule="exact"/>
        <w:ind w:firstLine="624" w:firstLineChars="200"/>
        <w:jc w:val="right"/>
        <w:textAlignment w:val="auto"/>
        <w:rPr>
          <w:rFonts w:eastAsia="仿宋_GB2312"/>
          <w:spacing w:val="-4"/>
          <w:sz w:val="32"/>
          <w:szCs w:val="32"/>
        </w:rPr>
      </w:pPr>
      <w:r>
        <w:rPr>
          <w:rFonts w:eastAsia="仿宋_GB2312"/>
          <w:spacing w:val="-4"/>
          <w:sz w:val="32"/>
          <w:szCs w:val="32"/>
        </w:rPr>
        <w:t xml:space="preserve">2024年1月3日        </w:t>
      </w:r>
    </w:p>
    <w:p>
      <w:pPr>
        <w:keepNext w:val="0"/>
        <w:keepLines w:val="0"/>
        <w:pageBreakBefore w:val="0"/>
        <w:widowControl w:val="0"/>
        <w:kinsoku/>
        <w:wordWrap/>
        <w:overflowPunct/>
        <w:topLinePunct w:val="0"/>
        <w:autoSpaceDE/>
        <w:autoSpaceDN/>
        <w:bidi w:val="0"/>
        <w:adjustRightInd/>
        <w:snapToGrid/>
        <w:spacing w:line="589" w:lineRule="exact"/>
        <w:jc w:val="left"/>
        <w:textAlignment w:val="auto"/>
        <w:rPr>
          <w:rFonts w:eastAsia="仿宋_GB2312"/>
          <w:spacing w:val="-4"/>
          <w:sz w:val="32"/>
          <w:szCs w:val="32"/>
        </w:rPr>
      </w:pPr>
      <w:bookmarkStart w:id="0" w:name="_GoBack"/>
      <w:bookmarkEnd w:id="0"/>
    </w:p>
    <w:sectPr>
      <w:footerReference r:id="rId3" w:type="default"/>
      <w:footerReference r:id="rId4" w:type="even"/>
      <w:pgSz w:w="11906" w:h="16838"/>
      <w:pgMar w:top="1928" w:right="1474" w:bottom="1928" w:left="1588"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152095"/>
      <w:docPartList>
        <w:docPartGallery w:val="autotext"/>
      </w:docPartList>
    </w:sdtPr>
    <w:sdtEndPr>
      <w:rPr>
        <w:rFonts w:ascii="宋体"/>
        <w:sz w:val="28"/>
        <w:szCs w:val="28"/>
      </w:rPr>
    </w:sdtEndPr>
    <w:sdtContent>
      <w:p>
        <w:pPr>
          <w:pStyle w:val="5"/>
          <w:wordWrap w:val="0"/>
          <w:jc w:val="right"/>
          <w:rPr>
            <w:rFonts w:ascii="宋体"/>
            <w:sz w:val="28"/>
            <w:szCs w:val="28"/>
          </w:rPr>
        </w:pPr>
        <w:r>
          <w:rPr>
            <w:rFonts w:ascii="宋体"/>
            <w:sz w:val="28"/>
            <w:szCs w:val="28"/>
          </w:rPr>
          <w:t>—</w:t>
        </w:r>
        <w:r>
          <w:rPr>
            <w:rFonts w:hint="eastAsia" w:ascii="宋体"/>
            <w:sz w:val="28"/>
            <w:szCs w:val="28"/>
          </w:rPr>
          <w:t xml:space="preserve"> </w:t>
        </w: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1</w:t>
        </w:r>
        <w:r>
          <w:rPr>
            <w:rFonts w:ascii="宋体"/>
            <w:sz w:val="28"/>
            <w:szCs w:val="28"/>
          </w:rPr>
          <w:fldChar w:fldCharType="end"/>
        </w:r>
        <w:r>
          <w:rPr>
            <w:rFonts w:hint="eastAsia" w:ascii="宋体"/>
            <w:sz w:val="28"/>
            <w:szCs w:val="28"/>
          </w:rPr>
          <w:t xml:space="preserve"> </w:t>
        </w:r>
        <w:r>
          <w:rPr>
            <w:rFonts w:ascii="宋体"/>
            <w:sz w:val="28"/>
            <w:szCs w:val="28"/>
          </w:rPr>
          <w:t>—</w:t>
        </w:r>
        <w:r>
          <w:rPr>
            <w:rFonts w:hint="eastAsia" w:ascii="宋体"/>
            <w:sz w:val="28"/>
            <w:szCs w:val="28"/>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sz w:val="28"/>
        <w:szCs w:val="28"/>
      </w:rPr>
    </w:pPr>
    <w:r>
      <w:rPr>
        <w:rFonts w:ascii="宋体"/>
        <w:sz w:val="28"/>
        <w:szCs w:val="28"/>
      </w:rPr>
      <w:t>—</w:t>
    </w:r>
    <w:sdt>
      <w:sdtPr>
        <w:rPr>
          <w:rFonts w:ascii="宋体"/>
          <w:sz w:val="28"/>
          <w:szCs w:val="28"/>
        </w:rPr>
        <w:id w:val="-1139193988"/>
        <w:docPartList>
          <w:docPartGallery w:val="autotext"/>
        </w:docPartList>
      </w:sdtPr>
      <w:sdtEndPr>
        <w:rPr>
          <w:rFonts w:ascii="宋体"/>
          <w:sz w:val="28"/>
          <w:szCs w:val="28"/>
        </w:rPr>
      </w:sdtEndPr>
      <w:sdtContent>
        <w:r>
          <w:rPr>
            <w:rFonts w:hint="eastAsia" w:ascii="宋体"/>
            <w:sz w:val="28"/>
            <w:szCs w:val="28"/>
          </w:rPr>
          <w:t xml:space="preserve"> </w:t>
        </w: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2</w:t>
        </w:r>
        <w:r>
          <w:rPr>
            <w:rFonts w:ascii="宋体"/>
            <w:sz w:val="28"/>
            <w:szCs w:val="28"/>
          </w:rPr>
          <w:fldChar w:fldCharType="end"/>
        </w:r>
        <w:r>
          <w:rPr>
            <w:rFonts w:hint="eastAsia" w:ascii="宋体"/>
            <w:sz w:val="28"/>
            <w:szCs w:val="28"/>
          </w:rPr>
          <w:t xml:space="preserve"> </w:t>
        </w:r>
        <w:r>
          <w:rPr>
            <w:rFonts w:ascii="宋体"/>
            <w:sz w:val="28"/>
            <w:szCs w:val="28"/>
          </w:rPr>
          <w:t>—</w:t>
        </w:r>
      </w:sdtContent>
    </w:sdt>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FC94F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Pages>
  <Words>2503</Words>
  <Characters>2623</Characters>
  <Lines>390</Lines>
  <Paragraphs>304</Paragraphs>
  <TotalTime>554</TotalTime>
  <ScaleCrop>false</ScaleCrop>
  <LinksUpToDate>false</LinksUpToDate>
  <CharactersWithSpaces>2681</CharactersWithSpaces>
  <Application>WPS Office_12.8.2.15091_F1E327BC-269C-435d-A152-05C5408002CA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2019-05-16T01:57:00Z</dcterms:created>
  <dc:creator>Administrator</dc:creator>
  <cp:lastModifiedBy>Administrator</cp:lastModifiedBy>
  <cp:lastPrinted>2023-01-03T07:41:00Z</cp:lastPrinted>
  <dcterms:modified xsi:type="dcterms:W3CDTF">2025-01-07T01:29:13Z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20D72AA014B14F2F8C6E78ECC28FD3D9_12</vt:lpwstr>
  </property>
</Properties>
</file>