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eastAsia="方正小标宋简体"/>
          <w:kern w:val="2"/>
          <w:sz w:val="44"/>
          <w:szCs w:val="44"/>
          <w:lang w:val="en-US" w:eastAsia="zh-CN" w:bidi="ar-SA"/>
        </w:rPr>
      </w:pPr>
      <w:r>
        <w:rPr>
          <w:rFonts w:eastAsia="方正小标宋简体"/>
          <w:kern w:val="2"/>
          <w:sz w:val="44"/>
          <w:szCs w:val="44"/>
          <w:lang w:val="en-US" w:eastAsia="zh-CN" w:bidi="ar-SA"/>
        </w:rPr>
        <w:t>行政处罚公示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snapToGrid w:val="0"/>
        <w:spacing w:line="510" w:lineRule="exact"/>
        <w:ind w:right="200" w:firstLineChars="200" w:firstLine="640"/>
        <w:rPr>
          <w:rFonts w:eastAsia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snapToGrid w:val="0"/>
        <w:spacing w:line="510" w:lineRule="exact"/>
        <w:ind w:right="20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kern w:val="2"/>
          <w:sz w:val="32"/>
          <w:szCs w:val="32"/>
          <w:lang w:val="en-US" w:eastAsia="zh-CN" w:bidi="ar-SA"/>
        </w:rPr>
        <w:t>经检查发现，秦皇岛市第二医院</w:t>
      </w:r>
      <w:bookmarkStart w:id="0" w:name="_GoBack"/>
      <w:bookmarkEnd w:id="0"/>
      <w:r>
        <w:rPr>
          <w:rFonts w:eastAsia="仿宋_GB2312"/>
          <w:kern w:val="2"/>
          <w:sz w:val="32"/>
          <w:szCs w:val="32"/>
          <w:lang w:val="en-US" w:eastAsia="zh-CN" w:bidi="ar-SA"/>
        </w:rPr>
        <w:t>存在</w:t>
      </w:r>
      <w:r>
        <w:rPr>
          <w:rFonts w:eastAsia="仿宋_GB2312"/>
          <w:bCs/>
          <w:color w:val="000000"/>
          <w:kern w:val="0"/>
          <w:sz w:val="32"/>
          <w:szCs w:val="32"/>
          <w:highlight w:val="auto"/>
        </w:rPr>
        <w:t>重复收费、超标准收费和串换项目收费等违规行为，依据</w:t>
      </w:r>
      <w:r>
        <w:rPr>
          <w:rFonts w:eastAsia="仿宋_GB2312"/>
          <w:sz w:val="32"/>
          <w:szCs w:val="32"/>
        </w:rPr>
        <w:t>《医疗保障基金使用监督管理条例》和《河北省医疗保障基金使用监督管理行政处罚裁量基准》相关规定，秦皇岛市医疗保障局对其做出行政处理，责令改正存在的违法行为，约谈该院负责人；退回造成损失的医疗保障基金并处以罚款。（行政处理决定书文号：</w:t>
      </w:r>
      <w:r>
        <w:rPr>
          <w:rFonts w:eastAsia="仿宋_GB2312"/>
          <w:sz w:val="32"/>
          <w:szCs w:val="32"/>
          <w:lang w:eastAsia="zh-CN"/>
          <w:highlight w:val="auto"/>
        </w:rPr>
        <w:t>秦</w:t>
      </w:r>
      <w:r>
        <w:rPr>
          <w:rFonts w:eastAsia="仿宋_GB2312"/>
          <w:sz w:val="32"/>
          <w:szCs w:val="32"/>
          <w:highlight w:val="auto"/>
        </w:rPr>
        <w:t>医保处字〔20</w:t>
      </w:r>
      <w:r>
        <w:rPr>
          <w:rFonts w:eastAsia="仿宋_GB2312"/>
          <w:sz w:val="32"/>
          <w:szCs w:val="32"/>
          <w:lang w:val="en-US" w:eastAsia="zh-CN"/>
          <w:highlight w:val="auto"/>
        </w:rPr>
        <w:t>24</w:t>
      </w:r>
      <w:r>
        <w:rPr>
          <w:rFonts w:eastAsia="仿宋_GB2312"/>
          <w:sz w:val="32"/>
          <w:szCs w:val="32"/>
          <w:highlight w:val="auto"/>
        </w:rPr>
        <w:t>〕第1号</w:t>
      </w:r>
      <w:r>
        <w:rPr>
          <w:rFonts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beforeLines="50" w:before="156" w:line="560" w:lineRule="exact"/>
        <w:ind w:firstLineChars="200" w:firstLine="640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kern w:val="2"/>
          <w:sz w:val="32"/>
          <w:szCs w:val="32"/>
          <w:lang w:val="en-US" w:eastAsia="zh-CN" w:bidi="ar-SA"/>
        </w:rPr>
        <w:t>经检查发现，</w:t>
      </w:r>
      <w:r>
        <w:rPr>
          <w:rFonts w:eastAsia="仿宋_GB2312"/>
          <w:bCs/>
          <w:color w:val="000000"/>
          <w:kern w:val="0"/>
          <w:sz w:val="32"/>
          <w:szCs w:val="32"/>
          <w:lang w:val="en-US" w:eastAsia="zh-CN"/>
        </w:rPr>
        <w:t>天津市肿瘤医院秦皇岛医院（秦皇岛市职业病防治院）</w:t>
      </w:r>
      <w:r>
        <w:rPr>
          <w:rFonts w:eastAsia="仿宋_GB2312"/>
          <w:kern w:val="2"/>
          <w:sz w:val="32"/>
          <w:szCs w:val="32"/>
          <w:lang w:val="en-US" w:eastAsia="zh-CN" w:bidi="ar-SA"/>
        </w:rPr>
        <w:t>存在</w:t>
      </w:r>
      <w:r>
        <w:rPr>
          <w:rFonts w:eastAsia="仿宋_GB2312"/>
          <w:bCs/>
          <w:color w:val="000000"/>
          <w:kern w:val="0"/>
          <w:sz w:val="32"/>
          <w:szCs w:val="32"/>
          <w:lang w:val="en-US" w:eastAsia="zh-CN"/>
          <w:highlight w:val="auto"/>
        </w:rPr>
        <w:t>重复收费、超标准收费和串换项目收费</w:t>
      </w:r>
      <w:r>
        <w:rPr>
          <w:rFonts w:eastAsia="仿宋_GB2312"/>
          <w:bCs/>
          <w:color w:val="000000"/>
          <w:kern w:val="0"/>
          <w:sz w:val="32"/>
          <w:szCs w:val="32"/>
          <w:highlight w:val="auto"/>
        </w:rPr>
        <w:t>等违规行为，依据</w:t>
      </w:r>
      <w:r>
        <w:rPr>
          <w:rFonts w:eastAsia="仿宋_GB2312"/>
          <w:sz w:val="32"/>
          <w:szCs w:val="32"/>
        </w:rPr>
        <w:t>《医疗保障基金使用监督管理条例》和《河北省医疗保障基金使用监督管理行政处罚裁量基准》相关规定，秦皇岛市医疗保障局对其做出行政处理，责令改正存在的违法行为，约谈该院负责人；退回造成损失的医疗保障基金并处以罚款。（行政处理决定书文号：</w:t>
      </w:r>
      <w:r>
        <w:rPr>
          <w:rFonts w:eastAsia="仿宋_GB2312"/>
          <w:sz w:val="32"/>
          <w:szCs w:val="32"/>
          <w:lang w:eastAsia="zh-CN"/>
          <w:highlight w:val="auto"/>
        </w:rPr>
        <w:t>秦</w:t>
      </w:r>
      <w:r>
        <w:rPr>
          <w:rFonts w:eastAsia="仿宋_GB2312"/>
          <w:sz w:val="32"/>
          <w:szCs w:val="32"/>
          <w:highlight w:val="auto"/>
        </w:rPr>
        <w:t>医保处字〔20</w:t>
      </w:r>
      <w:r>
        <w:rPr>
          <w:rFonts w:eastAsia="仿宋_GB2312"/>
          <w:sz w:val="32"/>
          <w:szCs w:val="32"/>
          <w:lang w:val="en-US" w:eastAsia="zh-CN"/>
          <w:highlight w:val="auto"/>
        </w:rPr>
        <w:t>24</w:t>
      </w:r>
      <w:r>
        <w:rPr>
          <w:rFonts w:eastAsia="仿宋_GB2312"/>
          <w:sz w:val="32"/>
          <w:szCs w:val="32"/>
          <w:highlight w:val="auto"/>
        </w:rPr>
        <w:t>〕第2号</w:t>
      </w:r>
      <w:r>
        <w:rPr>
          <w:rFonts w:eastAsia="仿宋_GB2312"/>
          <w:sz w:val="32"/>
          <w:szCs w:val="32"/>
        </w:rPr>
        <w:t>）</w:t>
      </w:r>
    </w:p>
    <w:sectPr>
      <w:pgSz w:w="11907" w:h="16840"/>
      <w:pgMar w:top="2098" w:right="1474" w:bottom="1985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"/>
    <w:basedOn w:val="0"/>
    <w:next w:val="0"/>
    <w:pPr>
      <w:widowControl w:val="0"/>
      <w:spacing w:after="12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349</TotalTime>
  <Application>Yozo_Office27021597764231179</Application>
  <Pages>1</Pages>
  <Words>358</Words>
  <Characters>364</Characters>
  <Lines>16</Lines>
  <Paragraphs>3</Paragraphs>
  <CharactersWithSpaces>364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DELL</cp:lastModifiedBy>
  <cp:revision>1</cp:revision>
  <cp:lastPrinted>2024-12-11T06:41:52Z</cp:lastPrinted>
  <dcterms:created xsi:type="dcterms:W3CDTF">2024-12-11T02:29:28Z</dcterms:created>
  <dcterms:modified xsi:type="dcterms:W3CDTF">2024-12-11T08:37:44Z</dcterms:modified>
</cp:coreProperties>
</file>