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70B407">
      <w:pPr>
        <w:keepNext w:val="0"/>
        <w:keepLines w:val="0"/>
        <w:pageBreakBefore w:val="0"/>
        <w:widowControl w:val="0"/>
        <w:kinsoku/>
        <w:wordWrap/>
        <w:overflowPunct/>
        <w:topLinePunct w:val="0"/>
        <w:autoSpaceDE/>
        <w:autoSpaceDN/>
        <w:bidi w:val="0"/>
        <w:adjustRightInd/>
        <w:snapToGrid/>
        <w:spacing w:line="520" w:lineRule="exact"/>
        <w:ind w:right="0" w:rightChars="0"/>
        <w:jc w:val="center"/>
        <w:textAlignment w:val="auto"/>
        <w:rPr>
          <w:rFonts w:hint="default" w:ascii="Times New Roman" w:hAnsi="Times New Roman" w:eastAsia="方正小标宋简体" w:cs="Times New Roman"/>
          <w:sz w:val="44"/>
          <w:szCs w:val="44"/>
          <w:highlight w:val="none"/>
          <w:lang w:bidi="ar-SA"/>
        </w:rPr>
      </w:pPr>
    </w:p>
    <w:p w14:paraId="322D4944">
      <w:pPr>
        <w:keepNext w:val="0"/>
        <w:keepLines w:val="0"/>
        <w:pageBreakBefore w:val="0"/>
        <w:widowControl w:val="0"/>
        <w:kinsoku/>
        <w:wordWrap/>
        <w:overflowPunct/>
        <w:topLinePunct w:val="0"/>
        <w:autoSpaceDE/>
        <w:autoSpaceDN/>
        <w:bidi w:val="0"/>
        <w:adjustRightInd/>
        <w:snapToGrid/>
        <w:spacing w:line="520" w:lineRule="exact"/>
        <w:ind w:right="0" w:rightChars="0"/>
        <w:jc w:val="center"/>
        <w:textAlignment w:val="auto"/>
        <w:rPr>
          <w:rFonts w:hint="default" w:ascii="Times New Roman" w:hAnsi="Times New Roman" w:eastAsia="方正小标宋简体" w:cs="Times New Roman"/>
          <w:sz w:val="44"/>
          <w:szCs w:val="44"/>
          <w:highlight w:val="none"/>
          <w:lang w:bidi="ar-SA"/>
        </w:rPr>
      </w:pPr>
      <w:r>
        <w:rPr>
          <w:rFonts w:hint="default" w:ascii="Times New Roman" w:hAnsi="Times New Roman" w:eastAsia="方正小标宋简体" w:cs="Times New Roman"/>
          <w:sz w:val="44"/>
          <w:szCs w:val="44"/>
          <w:highlight w:val="none"/>
          <w:lang w:bidi="ar-SA"/>
        </w:rPr>
        <w:t>秦皇岛市长期护理保险实施细则</w:t>
      </w:r>
    </w:p>
    <w:p w14:paraId="259A6F71">
      <w:pPr>
        <w:keepNext w:val="0"/>
        <w:keepLines w:val="0"/>
        <w:pageBreakBefore w:val="0"/>
        <w:widowControl w:val="0"/>
        <w:kinsoku/>
        <w:wordWrap/>
        <w:overflowPunct/>
        <w:topLinePunct w:val="0"/>
        <w:autoSpaceDE/>
        <w:autoSpaceDN/>
        <w:bidi w:val="0"/>
        <w:adjustRightInd/>
        <w:snapToGrid/>
        <w:spacing w:line="520" w:lineRule="exact"/>
        <w:ind w:right="0" w:rightChars="0"/>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Times New Roman" w:hAnsi="Times New Roman" w:eastAsia="方正小标宋简体" w:cs="Times New Roman"/>
          <w:sz w:val="44"/>
          <w:szCs w:val="44"/>
          <w:highlight w:val="none"/>
          <w:lang w:eastAsia="zh-CN" w:bidi="ar-SA"/>
        </w:rPr>
        <w:t>（征求意见稿）</w:t>
      </w:r>
    </w:p>
    <w:p w14:paraId="199A76B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rightChars="0" w:firstLine="640" w:firstLineChars="200"/>
        <w:jc w:val="both"/>
        <w:textAlignment w:val="auto"/>
        <w:rPr>
          <w:rFonts w:hint="eastAsia" w:ascii="Times New Roman" w:hAnsi="Times New Roman" w:eastAsia="仿宋_GB2312" w:cs="Times New Roman"/>
          <w:kern w:val="2"/>
          <w:sz w:val="32"/>
          <w:szCs w:val="32"/>
          <w:highlight w:val="none"/>
          <w:lang w:val="en-US" w:eastAsia="zh-CN" w:bidi="ar-SA"/>
        </w:rPr>
      </w:pPr>
    </w:p>
    <w:p w14:paraId="4BADF00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right="0" w:rightChars="0"/>
        <w:jc w:val="center"/>
        <w:textAlignment w:val="auto"/>
        <w:rPr>
          <w:rFonts w:hint="eastAsia"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第一章 总则</w:t>
      </w:r>
    </w:p>
    <w:p w14:paraId="4F2D023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rightChars="0" w:firstLine="643" w:firstLineChars="200"/>
        <w:jc w:val="both"/>
        <w:textAlignment w:val="auto"/>
        <w:rPr>
          <w:rFonts w:hint="eastAsia" w:ascii="Times New Roman" w:hAnsi="Times New Roman" w:eastAsia="仿宋_GB2312" w:cs="Times New Roman"/>
          <w:b/>
          <w:bCs/>
          <w:kern w:val="2"/>
          <w:sz w:val="32"/>
          <w:szCs w:val="32"/>
          <w:highlight w:val="none"/>
          <w:lang w:val="en-US" w:eastAsia="zh-CN" w:bidi="ar-SA"/>
        </w:rPr>
      </w:pPr>
      <w:r>
        <w:rPr>
          <w:rFonts w:hint="eastAsia" w:ascii="Times New Roman" w:hAnsi="Times New Roman" w:eastAsia="仿宋_GB2312" w:cs="Times New Roman"/>
          <w:b/>
          <w:bCs/>
          <w:kern w:val="2"/>
          <w:sz w:val="32"/>
          <w:szCs w:val="32"/>
          <w:highlight w:val="none"/>
          <w:lang w:val="en-US" w:eastAsia="zh-CN" w:bidi="ar-SA"/>
        </w:rPr>
        <w:t>第一条</w:t>
      </w:r>
      <w:r>
        <w:rPr>
          <w:rFonts w:hint="eastAsia" w:ascii="Times New Roman" w:hAnsi="Times New Roman" w:eastAsia="仿宋_GB2312" w:cs="Times New Roman"/>
          <w:kern w:val="2"/>
          <w:sz w:val="32"/>
          <w:szCs w:val="32"/>
          <w:highlight w:val="none"/>
          <w:lang w:val="en-US" w:eastAsia="zh-CN" w:bidi="ar-SA"/>
        </w:rPr>
        <w:t xml:space="preserve"> </w:t>
      </w:r>
      <w:r>
        <w:rPr>
          <w:rFonts w:hint="default" w:ascii="Times New Roman" w:hAnsi="Times New Roman" w:eastAsia="仿宋_GB2312" w:cs="Times New Roman"/>
          <w:kern w:val="2"/>
          <w:sz w:val="32"/>
          <w:szCs w:val="32"/>
          <w:highlight w:val="none"/>
          <w:lang w:val="en-US" w:eastAsia="zh-CN" w:bidi="ar-SA"/>
        </w:rPr>
        <w:t>为积极应对人口老龄化国家战略，健全多层次社会保障体系，切实保障失能人员长期护理基本需求，</w:t>
      </w:r>
      <w:r>
        <w:rPr>
          <w:rFonts w:hint="eastAsia" w:ascii="Times New Roman" w:hAnsi="Times New Roman" w:eastAsia="仿宋_GB2312" w:cs="Times New Roman"/>
          <w:kern w:val="2"/>
          <w:sz w:val="32"/>
          <w:szCs w:val="32"/>
          <w:highlight w:val="none"/>
          <w:lang w:val="en-US" w:eastAsia="zh-CN" w:bidi="ar-SA"/>
        </w:rPr>
        <w:t>根据《河北省建立长期护理保险制度的实施方案》（冀医保发〔2026〕1号）</w:t>
      </w:r>
      <w:r>
        <w:rPr>
          <w:rFonts w:hint="default" w:ascii="Times New Roman" w:hAnsi="Times New Roman" w:eastAsia="仿宋_GB2312" w:cs="Times New Roman"/>
          <w:kern w:val="2"/>
          <w:sz w:val="32"/>
          <w:szCs w:val="32"/>
          <w:highlight w:val="none"/>
          <w:lang w:val="en-US" w:eastAsia="zh-CN" w:bidi="ar-SA"/>
        </w:rPr>
        <w:t>及国家、省有关规定，结合本市实际，制定本实施细则。</w:t>
      </w:r>
    </w:p>
    <w:p w14:paraId="62B4724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rightChars="0" w:firstLine="643" w:firstLineChars="200"/>
        <w:jc w:val="both"/>
        <w:textAlignment w:val="auto"/>
        <w:rPr>
          <w:rFonts w:hint="eastAsia" w:ascii="Times New Roman" w:hAnsi="Times New Roman" w:eastAsia="仿宋_GB2312" w:cs="Times New Roman"/>
          <w:color w:val="0000FF"/>
          <w:kern w:val="2"/>
          <w:sz w:val="32"/>
          <w:szCs w:val="32"/>
          <w:highlight w:val="none"/>
          <w:lang w:val="en-US" w:eastAsia="zh-CN" w:bidi="ar-SA"/>
        </w:rPr>
      </w:pPr>
      <w:r>
        <w:rPr>
          <w:rFonts w:hint="eastAsia" w:ascii="Times New Roman" w:hAnsi="Times New Roman" w:eastAsia="仿宋_GB2312" w:cs="Times New Roman"/>
          <w:b/>
          <w:bCs/>
          <w:kern w:val="2"/>
          <w:sz w:val="32"/>
          <w:szCs w:val="32"/>
          <w:highlight w:val="none"/>
          <w:lang w:val="en-US" w:eastAsia="zh-CN" w:bidi="ar-SA"/>
        </w:rPr>
        <w:t>第二条</w:t>
      </w:r>
      <w:r>
        <w:rPr>
          <w:rFonts w:hint="eastAsia" w:ascii="Times New Roman" w:hAnsi="Times New Roman" w:eastAsia="仿宋_GB2312" w:cs="Times New Roman"/>
          <w:color w:val="0000FF"/>
          <w:kern w:val="2"/>
          <w:sz w:val="32"/>
          <w:szCs w:val="32"/>
          <w:highlight w:val="none"/>
          <w:lang w:val="en-US" w:eastAsia="zh-CN" w:bidi="ar-SA"/>
        </w:rPr>
        <w:t xml:space="preserve"> </w:t>
      </w:r>
      <w:r>
        <w:rPr>
          <w:rFonts w:hint="eastAsia" w:ascii="Times New Roman" w:hAnsi="Times New Roman" w:eastAsia="仿宋_GB2312" w:cs="Times New Roman"/>
          <w:kern w:val="2"/>
          <w:sz w:val="32"/>
          <w:szCs w:val="32"/>
          <w:highlight w:val="none"/>
          <w:lang w:val="en-US" w:eastAsia="zh-CN" w:bidi="ar-SA"/>
        </w:rPr>
        <w:t>长期护理保险（以下简称“长护险”）是为失能人员的基本生活照料和与之密切相关的医疗护理提供服务或资金保障的独立社会保险险种。</w:t>
      </w:r>
    </w:p>
    <w:p w14:paraId="5F7DA86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rightChars="0" w:firstLine="643"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b/>
          <w:bCs/>
          <w:kern w:val="2"/>
          <w:sz w:val="32"/>
          <w:szCs w:val="32"/>
          <w:highlight w:val="none"/>
          <w:lang w:val="en-US" w:eastAsia="zh-CN" w:bidi="ar-SA"/>
        </w:rPr>
        <w:t>第三条</w:t>
      </w:r>
      <w:r>
        <w:rPr>
          <w:rFonts w:hint="eastAsia" w:ascii="Times New Roman" w:hAnsi="Times New Roman" w:eastAsia="仿宋_GB2312" w:cs="Times New Roman"/>
          <w:kern w:val="2"/>
          <w:sz w:val="32"/>
          <w:szCs w:val="32"/>
          <w:highlight w:val="none"/>
          <w:lang w:val="en-US" w:eastAsia="zh-CN" w:bidi="ar-SA"/>
        </w:rPr>
        <w:t xml:space="preserve"> 长护险制度坚持以下基本原则：</w:t>
      </w:r>
    </w:p>
    <w:p w14:paraId="1C3BB55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rightChars="0" w:firstLine="640"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（一）政府主导，多方参与。坚持政府统筹规划、部门协同推进，构建单位、个人、政府、社会多元共担的保障机制，引导社会力量参与服务供给。</w:t>
      </w:r>
    </w:p>
    <w:p w14:paraId="6F9460E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rightChars="0" w:firstLine="640"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（二）保障基本，循序渐进。以保障重度失能人员的基本护理需求为核心，从单位职工、退休人员及灵活就业人员群体起步，2027年将未就业城乡居民纳入保障范围，逐步完善制度体系和待遇水平。</w:t>
      </w:r>
    </w:p>
    <w:p w14:paraId="4E4FE04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rightChars="0" w:firstLine="640"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（三）权责对等，公平适度。坚持权利与义务相统一，筹资标准与经济社会发展水平、个人承受能力相适应，待遇水平与基金承受能力相匹配，促进不同群体待遇均衡。</w:t>
      </w:r>
    </w:p>
    <w:p w14:paraId="44CFF65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rightChars="0" w:firstLine="640"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（四）基金可持续，收支平衡。遵循“以收定支、收支平衡、略有结余”原则，合理确定筹资标准和待遇水平，职工和居民共用一个资金池，基金统筹使用。强化基金监管，确保制度稳定可持续运行。</w:t>
      </w:r>
    </w:p>
    <w:p w14:paraId="1CC077F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rightChars="0" w:firstLine="643" w:firstLineChars="200"/>
        <w:jc w:val="both"/>
        <w:textAlignment w:val="auto"/>
        <w:rPr>
          <w:rFonts w:hint="eastAsia" w:ascii="Times New Roman" w:hAnsi="Times New Roman" w:eastAsia="仿宋_GB2312" w:cs="Times New Roman"/>
          <w:b/>
          <w:bCs/>
          <w:kern w:val="2"/>
          <w:sz w:val="32"/>
          <w:szCs w:val="32"/>
          <w:highlight w:val="none"/>
          <w:lang w:val="en-US" w:eastAsia="zh-CN" w:bidi="ar-SA"/>
        </w:rPr>
      </w:pPr>
      <w:r>
        <w:rPr>
          <w:rFonts w:hint="eastAsia" w:ascii="Times New Roman" w:hAnsi="Times New Roman" w:eastAsia="仿宋_GB2312" w:cs="Times New Roman"/>
          <w:b/>
          <w:bCs/>
          <w:kern w:val="2"/>
          <w:sz w:val="32"/>
          <w:szCs w:val="32"/>
          <w:highlight w:val="none"/>
          <w:lang w:val="en-US" w:eastAsia="zh-CN" w:bidi="ar-SA"/>
        </w:rPr>
        <w:t>第四条</w:t>
      </w:r>
      <w:r>
        <w:rPr>
          <w:rFonts w:hint="eastAsia" w:ascii="Times New Roman" w:hAnsi="Times New Roman" w:eastAsia="仿宋_GB2312" w:cs="Times New Roman"/>
          <w:kern w:val="2"/>
          <w:sz w:val="32"/>
          <w:szCs w:val="32"/>
          <w:highlight w:val="none"/>
          <w:lang w:val="en-US" w:eastAsia="zh-CN" w:bidi="ar-SA"/>
        </w:rPr>
        <w:t xml:space="preserve"> 长护险实行市级统筹，全市统一政策制度、统一运行模式、统一经办流程、统一信息系统、统一基金管理，确保制度运行规范有序。</w:t>
      </w:r>
    </w:p>
    <w:p w14:paraId="3F5A277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rightChars="0" w:firstLine="643" w:firstLineChars="200"/>
        <w:jc w:val="both"/>
        <w:textAlignment w:val="auto"/>
        <w:rPr>
          <w:rFonts w:ascii="仿宋_GB2312" w:hAnsi="仿宋_GB2312" w:eastAsia="仿宋_GB2312" w:cs="仿宋_GB2312"/>
          <w:sz w:val="32"/>
          <w:szCs w:val="32"/>
          <w:highlight w:val="none"/>
          <w:lang w:eastAsia="zh-CN"/>
        </w:rPr>
      </w:pPr>
      <w:r>
        <w:rPr>
          <w:rFonts w:hint="eastAsia" w:ascii="Times New Roman" w:hAnsi="Times New Roman" w:eastAsia="仿宋_GB2312" w:cs="Times New Roman"/>
          <w:b/>
          <w:bCs/>
          <w:kern w:val="2"/>
          <w:sz w:val="32"/>
          <w:szCs w:val="32"/>
          <w:highlight w:val="none"/>
          <w:lang w:val="en-US" w:eastAsia="zh-CN" w:bidi="ar-SA"/>
        </w:rPr>
        <w:t>第五条</w:t>
      </w:r>
      <w:r>
        <w:rPr>
          <w:rFonts w:hint="eastAsia" w:ascii="Times New Roman" w:hAnsi="Times New Roman" w:eastAsia="仿宋_GB2312" w:cs="Times New Roman"/>
          <w:kern w:val="2"/>
          <w:sz w:val="32"/>
          <w:szCs w:val="32"/>
          <w:highlight w:val="none"/>
          <w:lang w:val="en-US" w:eastAsia="zh-CN" w:bidi="ar-SA"/>
        </w:rPr>
        <w:t xml:space="preserve"> </w:t>
      </w:r>
      <w:r>
        <w:rPr>
          <w:rFonts w:hint="eastAsia" w:ascii="仿宋_GB2312" w:hAnsi="仿宋_GB2312" w:eastAsia="仿宋_GB2312" w:cs="仿宋_GB2312"/>
          <w:sz w:val="32"/>
          <w:szCs w:val="32"/>
          <w:highlight w:val="none"/>
          <w:lang w:eastAsia="zh-CN"/>
        </w:rPr>
        <w:t>建立健全长护险工作部门协同机制，明确责任分工，统筹推进全市长护险工作有序开展：</w:t>
      </w:r>
    </w:p>
    <w:p w14:paraId="7B40E09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rightChars="0"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Times New Roman" w:hAnsi="Times New Roman" w:eastAsia="仿宋_GB2312" w:cs="Times New Roman"/>
          <w:kern w:val="2"/>
          <w:sz w:val="32"/>
          <w:szCs w:val="32"/>
          <w:highlight w:val="none"/>
          <w:lang w:val="en-US" w:eastAsia="zh-CN" w:bidi="ar-SA"/>
        </w:rPr>
        <w:t>（一）医保部门</w:t>
      </w:r>
      <w:r>
        <w:rPr>
          <w:rFonts w:ascii="仿宋_GB2312" w:hAnsi="仿宋_GB2312" w:eastAsia="仿宋_GB2312" w:cs="仿宋_GB2312"/>
          <w:sz w:val="32"/>
          <w:szCs w:val="32"/>
          <w:highlight w:val="none"/>
          <w:lang w:eastAsia="zh-CN"/>
        </w:rPr>
        <w:t>负责</w:t>
      </w:r>
      <w:r>
        <w:rPr>
          <w:rFonts w:hint="eastAsia" w:ascii="仿宋_GB2312" w:hAnsi="仿宋_GB2312" w:eastAsia="仿宋_GB2312" w:cs="仿宋_GB2312"/>
          <w:sz w:val="32"/>
          <w:szCs w:val="32"/>
          <w:highlight w:val="none"/>
          <w:lang w:eastAsia="zh-CN"/>
        </w:rPr>
        <w:t>长护险制度建设与组织实施</w:t>
      </w:r>
      <w:r>
        <w:rPr>
          <w:rFonts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eastAsia="zh-CN"/>
        </w:rPr>
        <w:t>制定基本政策，规范管理服务，加强定点评估机构、长护服务机构及第三方经办机构协议管理和基金监管。</w:t>
      </w:r>
    </w:p>
    <w:p w14:paraId="09F41AF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rightChars="0" w:firstLine="640" w:firstLineChars="200"/>
        <w:jc w:val="both"/>
        <w:textAlignment w:val="auto"/>
        <w:rPr>
          <w:rFonts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（二）</w:t>
      </w:r>
      <w:r>
        <w:rPr>
          <w:rFonts w:ascii="仿宋_GB2312" w:hAnsi="仿宋_GB2312" w:eastAsia="仿宋_GB2312" w:cs="仿宋_GB2312"/>
          <w:sz w:val="32"/>
          <w:szCs w:val="32"/>
          <w:highlight w:val="none"/>
          <w:lang w:eastAsia="zh-CN"/>
        </w:rPr>
        <w:t>财政部门负责及时足额安排相关财政补助资金、配合医保部门做好基金测算等。</w:t>
      </w:r>
    </w:p>
    <w:p w14:paraId="5391C83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rightChars="0" w:firstLine="640" w:firstLineChars="200"/>
        <w:jc w:val="both"/>
        <w:textAlignment w:val="auto"/>
        <w:rPr>
          <w:rFonts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（三）</w:t>
      </w:r>
      <w:r>
        <w:rPr>
          <w:rFonts w:ascii="仿宋_GB2312" w:hAnsi="仿宋_GB2312" w:eastAsia="仿宋_GB2312" w:cs="仿宋_GB2312"/>
          <w:sz w:val="32"/>
          <w:szCs w:val="32"/>
          <w:highlight w:val="none"/>
          <w:lang w:eastAsia="zh-CN"/>
        </w:rPr>
        <w:t>税务部门负责做好保费征收等工作。</w:t>
      </w:r>
    </w:p>
    <w:p w14:paraId="4A2E59A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rightChars="0" w:firstLine="640" w:firstLineChars="200"/>
        <w:jc w:val="both"/>
        <w:textAlignment w:val="auto"/>
        <w:rPr>
          <w:rFonts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（四）</w:t>
      </w:r>
      <w:r>
        <w:rPr>
          <w:rFonts w:ascii="仿宋_GB2312" w:hAnsi="仿宋_GB2312" w:eastAsia="仿宋_GB2312" w:cs="仿宋_GB2312"/>
          <w:sz w:val="32"/>
          <w:szCs w:val="32"/>
          <w:highlight w:val="none"/>
          <w:lang w:eastAsia="zh-CN"/>
        </w:rPr>
        <w:t>民政部门、卫生健康部门、残联与医保部门共同负责加强保险体系和服务体系协同联动、探索失能等级评估结果跨部门互认机制等。</w:t>
      </w:r>
    </w:p>
    <w:p w14:paraId="3D06FFA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rightChars="0" w:firstLine="640" w:firstLineChars="200"/>
        <w:jc w:val="both"/>
        <w:textAlignment w:val="auto"/>
        <w:rPr>
          <w:rFonts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（五）</w:t>
      </w:r>
      <w:r>
        <w:rPr>
          <w:rFonts w:ascii="仿宋_GB2312" w:hAnsi="仿宋_GB2312" w:eastAsia="仿宋_GB2312" w:cs="仿宋_GB2312"/>
          <w:sz w:val="32"/>
          <w:szCs w:val="32"/>
          <w:highlight w:val="none"/>
          <w:lang w:eastAsia="zh-CN"/>
        </w:rPr>
        <w:t>民政部门、财政部门、医保部门、残联共同做好相关保险与补贴制度的衔接。</w:t>
      </w:r>
    </w:p>
    <w:p w14:paraId="16343CA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rightChars="0" w:firstLine="640" w:firstLineChars="200"/>
        <w:jc w:val="both"/>
        <w:textAlignment w:val="auto"/>
        <w:rPr>
          <w:rFonts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（六）</w:t>
      </w:r>
      <w:r>
        <w:rPr>
          <w:rFonts w:ascii="仿宋_GB2312" w:hAnsi="仿宋_GB2312" w:eastAsia="仿宋_GB2312" w:cs="仿宋_GB2312"/>
          <w:sz w:val="32"/>
          <w:szCs w:val="32"/>
          <w:highlight w:val="none"/>
          <w:lang w:eastAsia="zh-CN"/>
        </w:rPr>
        <w:t>卫生健康部门负责鼓励基层医疗卫生机构</w:t>
      </w:r>
      <w:r>
        <w:rPr>
          <w:rFonts w:hint="eastAsia" w:ascii="仿宋_GB2312" w:hAnsi="仿宋_GB2312" w:eastAsia="仿宋_GB2312" w:cs="仿宋_GB2312"/>
          <w:sz w:val="32"/>
          <w:szCs w:val="32"/>
          <w:highlight w:val="none"/>
          <w:lang w:eastAsia="zh-CN"/>
        </w:rPr>
        <w:t>和医养结合机构</w:t>
      </w:r>
      <w:r>
        <w:rPr>
          <w:rFonts w:ascii="仿宋_GB2312" w:hAnsi="仿宋_GB2312" w:eastAsia="仿宋_GB2312" w:cs="仿宋_GB2312"/>
          <w:sz w:val="32"/>
          <w:szCs w:val="32"/>
          <w:highlight w:val="none"/>
          <w:lang w:eastAsia="zh-CN"/>
        </w:rPr>
        <w:t>提供长期护理服务、探索发挥家庭医生在失能等级评估中的作用等。</w:t>
      </w:r>
    </w:p>
    <w:p w14:paraId="3F508D0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rightChars="0"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（七）</w:t>
      </w:r>
      <w:r>
        <w:rPr>
          <w:rFonts w:ascii="仿宋_GB2312" w:hAnsi="仿宋_GB2312" w:eastAsia="仿宋_GB2312" w:cs="仿宋_GB2312"/>
          <w:sz w:val="32"/>
          <w:szCs w:val="32"/>
          <w:highlight w:val="none"/>
          <w:lang w:eastAsia="zh-CN"/>
        </w:rPr>
        <w:t>人社部门负责配合做好长期照护师培养培训、</w:t>
      </w:r>
      <w:r>
        <w:rPr>
          <w:rFonts w:hint="eastAsia" w:ascii="仿宋_GB2312" w:hAnsi="仿宋_GB2312" w:eastAsia="仿宋_GB2312" w:cs="仿宋_GB2312"/>
          <w:sz w:val="32"/>
          <w:szCs w:val="32"/>
          <w:highlight w:val="none"/>
          <w:lang w:eastAsia="zh-CN"/>
        </w:rPr>
        <w:t>长护险</w:t>
      </w:r>
      <w:r>
        <w:rPr>
          <w:rFonts w:ascii="仿宋_GB2312" w:hAnsi="仿宋_GB2312" w:eastAsia="仿宋_GB2312" w:cs="仿宋_GB2312"/>
          <w:sz w:val="32"/>
          <w:szCs w:val="32"/>
          <w:highlight w:val="none"/>
          <w:lang w:eastAsia="zh-CN"/>
        </w:rPr>
        <w:t>与工伤保险衔接、提供退休人员基本养老金数据</w:t>
      </w:r>
      <w:r>
        <w:rPr>
          <w:rFonts w:hint="eastAsia" w:ascii="仿宋_GB2312" w:hAnsi="仿宋_GB2312" w:eastAsia="仿宋_GB2312" w:cs="仿宋_GB2312"/>
          <w:sz w:val="32"/>
          <w:szCs w:val="32"/>
          <w:highlight w:val="none"/>
          <w:lang w:eastAsia="zh-CN"/>
        </w:rPr>
        <w:t>等。</w:t>
      </w:r>
    </w:p>
    <w:p w14:paraId="5B01667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rightChars="0" w:firstLine="640" w:firstLineChars="200"/>
        <w:jc w:val="both"/>
        <w:textAlignment w:val="auto"/>
        <w:rPr>
          <w:rFonts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（八）</w:t>
      </w:r>
      <w:r>
        <w:rPr>
          <w:rFonts w:ascii="仿宋_GB2312" w:hAnsi="仿宋_GB2312" w:eastAsia="仿宋_GB2312" w:cs="仿宋_GB2312"/>
          <w:sz w:val="32"/>
          <w:szCs w:val="32"/>
          <w:highlight w:val="none"/>
          <w:lang w:eastAsia="zh-CN"/>
        </w:rPr>
        <w:t>农业农村部门负责做好防止返贫致贫对象认定和帮扶工作。</w:t>
      </w:r>
    </w:p>
    <w:p w14:paraId="2ADD865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rightChars="0" w:firstLine="640" w:firstLineChars="200"/>
        <w:jc w:val="both"/>
        <w:textAlignment w:val="auto"/>
        <w:rPr>
          <w:rFonts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（九）</w:t>
      </w:r>
      <w:r>
        <w:rPr>
          <w:rFonts w:ascii="仿宋_GB2312" w:hAnsi="仿宋_GB2312" w:eastAsia="仿宋_GB2312" w:cs="仿宋_GB2312"/>
          <w:sz w:val="32"/>
          <w:szCs w:val="32"/>
          <w:highlight w:val="none"/>
          <w:lang w:eastAsia="zh-CN"/>
        </w:rPr>
        <w:t>金融监管部门负责商业保险机构参与</w:t>
      </w:r>
      <w:r>
        <w:rPr>
          <w:rFonts w:hint="eastAsia" w:ascii="仿宋_GB2312" w:hAnsi="仿宋_GB2312" w:eastAsia="仿宋_GB2312" w:cs="仿宋_GB2312"/>
          <w:sz w:val="32"/>
          <w:szCs w:val="32"/>
          <w:highlight w:val="none"/>
          <w:lang w:eastAsia="zh-CN"/>
        </w:rPr>
        <w:t>长护险</w:t>
      </w:r>
      <w:r>
        <w:rPr>
          <w:rFonts w:ascii="仿宋_GB2312" w:hAnsi="仿宋_GB2312" w:eastAsia="仿宋_GB2312" w:cs="仿宋_GB2312"/>
          <w:sz w:val="32"/>
          <w:szCs w:val="32"/>
          <w:highlight w:val="none"/>
          <w:lang w:eastAsia="zh-CN"/>
        </w:rPr>
        <w:t>经办服务的监管。</w:t>
      </w:r>
    </w:p>
    <w:p w14:paraId="4AB28D8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rightChars="0" w:firstLine="640" w:firstLineChars="200"/>
        <w:jc w:val="both"/>
        <w:textAlignment w:val="auto"/>
        <w:rPr>
          <w:rFonts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（十）</w:t>
      </w:r>
      <w:r>
        <w:rPr>
          <w:rFonts w:ascii="仿宋_GB2312" w:hAnsi="仿宋_GB2312" w:eastAsia="仿宋_GB2312" w:cs="仿宋_GB2312"/>
          <w:sz w:val="32"/>
          <w:szCs w:val="32"/>
          <w:highlight w:val="none"/>
          <w:lang w:eastAsia="zh-CN"/>
        </w:rPr>
        <w:t>残联协同做好残疾人参保、数据共享等工作。</w:t>
      </w:r>
    </w:p>
    <w:p w14:paraId="5483DE7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rightChars="0" w:firstLine="640" w:firstLineChars="200"/>
        <w:jc w:val="both"/>
        <w:textAlignment w:val="auto"/>
        <w:rPr>
          <w:rFonts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（十一）</w:t>
      </w:r>
      <w:r>
        <w:rPr>
          <w:rFonts w:ascii="仿宋_GB2312" w:hAnsi="仿宋_GB2312" w:eastAsia="仿宋_GB2312" w:cs="仿宋_GB2312"/>
          <w:sz w:val="32"/>
          <w:szCs w:val="32"/>
          <w:highlight w:val="none"/>
          <w:lang w:eastAsia="zh-CN"/>
        </w:rPr>
        <w:t>红十字会探索社会捐助筹资机制</w:t>
      </w:r>
      <w:r>
        <w:rPr>
          <w:rFonts w:hint="eastAsia" w:ascii="仿宋_GB2312" w:hAnsi="仿宋_GB2312" w:eastAsia="仿宋_GB2312" w:cs="仿宋_GB2312"/>
          <w:sz w:val="32"/>
          <w:szCs w:val="32"/>
          <w:highlight w:val="none"/>
          <w:lang w:eastAsia="zh-CN"/>
        </w:rPr>
        <w:t>，助力提升失能人员护理保障水平</w:t>
      </w:r>
      <w:r>
        <w:rPr>
          <w:rFonts w:ascii="仿宋_GB2312" w:hAnsi="仿宋_GB2312" w:eastAsia="仿宋_GB2312" w:cs="仿宋_GB2312"/>
          <w:sz w:val="32"/>
          <w:szCs w:val="32"/>
          <w:highlight w:val="none"/>
          <w:lang w:eastAsia="zh-CN"/>
        </w:rPr>
        <w:t>。</w:t>
      </w:r>
    </w:p>
    <w:p w14:paraId="41ED630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rightChars="0" w:firstLine="643"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仿宋_GB2312" w:hAnsi="仿宋_GB2312" w:eastAsia="仿宋_GB2312" w:cs="仿宋_GB2312"/>
          <w:b/>
          <w:bCs/>
          <w:sz w:val="32"/>
          <w:szCs w:val="32"/>
          <w:highlight w:val="none"/>
          <w:lang w:val="en-US" w:eastAsia="zh-CN"/>
        </w:rPr>
        <w:t>第六条</w:t>
      </w:r>
      <w:r>
        <w:rPr>
          <w:rFonts w:hint="eastAsia" w:ascii="Times New Roman" w:hAnsi="Times New Roman" w:eastAsia="仿宋_GB2312" w:cs="Times New Roman"/>
          <w:b/>
          <w:bCs/>
          <w:kern w:val="2"/>
          <w:sz w:val="32"/>
          <w:szCs w:val="32"/>
          <w:highlight w:val="none"/>
          <w:lang w:val="en-US" w:eastAsia="zh-CN" w:bidi="ar-SA"/>
        </w:rPr>
        <w:t xml:space="preserve"> </w:t>
      </w:r>
      <w:r>
        <w:rPr>
          <w:rFonts w:hint="eastAsia" w:ascii="仿宋_GB2312" w:hAnsi="仿宋_GB2312" w:eastAsia="仿宋_GB2312" w:cs="仿宋_GB2312"/>
          <w:sz w:val="32"/>
          <w:szCs w:val="32"/>
          <w:highlight w:val="none"/>
          <w:lang w:val="en-US" w:eastAsia="zh-CN"/>
        </w:rPr>
        <w:t>本实施细则适用于本市长护险参保登记、筹资管理、失能评估、待遇享受、服务供给、基金管理、经办服务及监督检查等工作。未就业城乡居民的具体筹资及待遇标准待纳入长护险制度保障范围后，由医保部门会同财政等相关部门另行制定。</w:t>
      </w:r>
    </w:p>
    <w:p w14:paraId="3E0A085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right="0" w:rightChars="0"/>
        <w:jc w:val="center"/>
        <w:textAlignment w:val="auto"/>
        <w:rPr>
          <w:rFonts w:hint="eastAsia" w:ascii="Times New Roman" w:hAnsi="Times New Roman" w:eastAsia="仿宋_GB2312" w:cs="Times New Roman"/>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第二章 参保范围与筹资机制</w:t>
      </w:r>
    </w:p>
    <w:p w14:paraId="72E85FC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rightChars="0" w:firstLine="643"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Times New Roman" w:hAnsi="Times New Roman" w:eastAsia="仿宋_GB2312" w:cs="Times New Roman"/>
          <w:b/>
          <w:bCs/>
          <w:kern w:val="2"/>
          <w:sz w:val="32"/>
          <w:szCs w:val="32"/>
          <w:highlight w:val="none"/>
          <w:lang w:val="en-US" w:eastAsia="zh-CN" w:bidi="ar-SA"/>
        </w:rPr>
        <w:t>第七条</w:t>
      </w:r>
      <w:r>
        <w:rPr>
          <w:rFonts w:hint="eastAsia" w:ascii="Times New Roman" w:hAnsi="Times New Roman" w:eastAsia="仿宋_GB2312" w:cs="Times New Roman"/>
          <w:kern w:val="2"/>
          <w:sz w:val="32"/>
          <w:szCs w:val="32"/>
          <w:highlight w:val="none"/>
          <w:lang w:val="en-US" w:eastAsia="zh-CN" w:bidi="ar-SA"/>
        </w:rPr>
        <w:t xml:space="preserve"> </w:t>
      </w:r>
      <w:r>
        <w:rPr>
          <w:rFonts w:hint="eastAsia" w:ascii="仿宋_GB2312" w:hAnsi="仿宋_GB2312" w:eastAsia="仿宋_GB2312" w:cs="仿宋_GB2312"/>
          <w:sz w:val="32"/>
          <w:szCs w:val="32"/>
          <w:highlight w:val="none"/>
          <w:lang w:val="en-US" w:eastAsia="zh-CN"/>
        </w:rPr>
        <w:t>用人单位（包括企业、事业单位、机关、社会组织）以及单位职工、退休人员、灵活就业人员、未就业城乡居民等按照属地管理原则，在参加我市基本医疗保险的同时，同步参加长护险。</w:t>
      </w:r>
    </w:p>
    <w:p w14:paraId="44F9C11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rightChars="0" w:firstLine="643"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b/>
          <w:bCs/>
          <w:kern w:val="2"/>
          <w:sz w:val="32"/>
          <w:szCs w:val="32"/>
          <w:highlight w:val="none"/>
          <w:lang w:val="en-US" w:eastAsia="zh-CN" w:bidi="ar-SA"/>
        </w:rPr>
        <w:t>第八条</w:t>
      </w:r>
      <w:r>
        <w:rPr>
          <w:rFonts w:hint="eastAsia" w:ascii="Times New Roman" w:hAnsi="Times New Roman" w:eastAsia="仿宋_GB2312" w:cs="Times New Roman"/>
          <w:kern w:val="2"/>
          <w:sz w:val="32"/>
          <w:szCs w:val="32"/>
          <w:highlight w:val="none"/>
          <w:lang w:val="en-US" w:eastAsia="zh-CN" w:bidi="ar-SA"/>
        </w:rPr>
        <w:t xml:space="preserve"> 建立单位、个人、政府、社会等多元筹资渠道，长护险基金来源主要包括：</w:t>
      </w:r>
    </w:p>
    <w:p w14:paraId="23D17C7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rightChars="0" w:firstLine="640"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（一）参保人个人缴纳的保险费；</w:t>
      </w:r>
    </w:p>
    <w:p w14:paraId="36B03E5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rightChars="0" w:firstLine="640"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（二）用人单位缴纳的保险费；</w:t>
      </w:r>
    </w:p>
    <w:p w14:paraId="643371E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rightChars="0" w:firstLine="640"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（三）各级政府的财政补助资金；</w:t>
      </w:r>
    </w:p>
    <w:p w14:paraId="7D10AA1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rightChars="0" w:firstLine="640"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（四）基金利息收入、社会捐助资金、</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秦皇岛经济技术开发区试点长护险结余基金等</w:t>
      </w:r>
      <w:r>
        <w:rPr>
          <w:rFonts w:hint="eastAsia" w:ascii="Times New Roman" w:hAnsi="Times New Roman" w:eastAsia="仿宋_GB2312" w:cs="Times New Roman"/>
          <w:kern w:val="2"/>
          <w:sz w:val="32"/>
          <w:szCs w:val="32"/>
          <w:highlight w:val="none"/>
          <w:lang w:val="en-US" w:eastAsia="zh-CN" w:bidi="ar-SA"/>
        </w:rPr>
        <w:t>其他应纳入的资金。</w:t>
      </w:r>
    </w:p>
    <w:p w14:paraId="38B9943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rightChars="0" w:firstLine="643"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b/>
          <w:bCs/>
          <w:kern w:val="2"/>
          <w:sz w:val="32"/>
          <w:szCs w:val="32"/>
          <w:highlight w:val="none"/>
          <w:lang w:val="en-US" w:eastAsia="zh-CN" w:bidi="ar-SA"/>
        </w:rPr>
        <w:t xml:space="preserve">第九条 </w:t>
      </w:r>
      <w:r>
        <w:rPr>
          <w:rFonts w:hint="eastAsia" w:ascii="Times New Roman" w:hAnsi="Times New Roman" w:eastAsia="仿宋_GB2312" w:cs="Times New Roman"/>
          <w:kern w:val="2"/>
          <w:sz w:val="32"/>
          <w:szCs w:val="32"/>
          <w:highlight w:val="none"/>
          <w:lang w:val="en-US" w:eastAsia="zh-CN" w:bidi="ar-SA"/>
        </w:rPr>
        <w:t>长护险费率按照省级统一规定实行动态调整机制，由市医保局会同市财政局根据基金运行情况和经济社会发展水平提出调整意见，报市人民政府批准后实施。</w:t>
      </w:r>
    </w:p>
    <w:p w14:paraId="4979064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rightChars="0" w:firstLine="643"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b/>
          <w:bCs/>
          <w:kern w:val="2"/>
          <w:sz w:val="32"/>
          <w:szCs w:val="32"/>
          <w:highlight w:val="none"/>
          <w:lang w:val="en-US" w:eastAsia="zh-CN" w:bidi="ar-SA"/>
        </w:rPr>
        <w:t xml:space="preserve">第十条 </w:t>
      </w:r>
      <w:r>
        <w:rPr>
          <w:rFonts w:hint="eastAsia" w:ascii="Times New Roman" w:hAnsi="Times New Roman" w:eastAsia="仿宋_GB2312" w:cs="Times New Roman"/>
          <w:kern w:val="2"/>
          <w:sz w:val="32"/>
          <w:szCs w:val="32"/>
          <w:highlight w:val="none"/>
          <w:lang w:val="en-US" w:eastAsia="zh-CN" w:bidi="ar-SA"/>
        </w:rPr>
        <w:t>缴费费率与缴费基数：</w:t>
      </w:r>
    </w:p>
    <w:p w14:paraId="25AE0C17">
      <w:pPr>
        <w:keepNext w:val="0"/>
        <w:keepLines w:val="0"/>
        <w:pageBreakBefore w:val="0"/>
        <w:widowControl w:val="0"/>
        <w:kinsoku/>
        <w:overflowPunct/>
        <w:topLinePunct w:val="0"/>
        <w:autoSpaceDE/>
        <w:autoSpaceDN/>
        <w:bidi w:val="0"/>
        <w:adjustRightInd/>
        <w:snapToGrid/>
        <w:spacing w:line="520" w:lineRule="exact"/>
        <w:ind w:right="0" w:rightChars="0" w:firstLine="640"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一）单位职工。缴费费率为0.3%，由用人单位和个人分别缴纳0.15%，缴费基数与职工基本医疗保险缴费基数一致：用人单位缴费基数为本单位上年度职工工资总额（用人单位不能按时准确提供上年度职工工资总额的，按照职工基本医疗保险缴费基数执行）；个人缴费基数为上年度本人工资收入（工资收入高于我市上年度全口径城镇单位就业人员平均工资的，以实际工资作为缴费基数；低于我市上年度全口径城镇单位就业人员平均工资的，以我市上年度全口径城镇单位就业人员平均工资作为缴费基数）。建制当年，下调职工基本医疗保险单位费率0.15%，用作长护险单位费率。</w:t>
      </w:r>
    </w:p>
    <w:p w14:paraId="13685A5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rightChars="0" w:firstLine="640"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（二）退休人员。缴费费率为0.15%，由个人缴纳，原用人单位不缴费，缴费基数为上年度本人基本养老金</w:t>
      </w:r>
      <w:r>
        <w:rPr>
          <w:rFonts w:ascii="仿宋_GB2312" w:hAnsi="仿宋_GB2312" w:eastAsia="仿宋_GB2312" w:cs="仿宋_GB2312"/>
          <w:sz w:val="32"/>
          <w:szCs w:val="32"/>
          <w:highlight w:val="none"/>
          <w:lang w:eastAsia="zh-CN"/>
        </w:rPr>
        <w:t>（当年退休人员为领取退休待遇当月的个人基本养老金）</w:t>
      </w:r>
      <w:r>
        <w:rPr>
          <w:rFonts w:hint="eastAsia" w:ascii="仿宋_GB2312" w:hAnsi="仿宋_GB2312" w:eastAsia="仿宋_GB2312" w:cs="仿宋_GB2312"/>
          <w:sz w:val="32"/>
          <w:szCs w:val="32"/>
          <w:highlight w:val="none"/>
          <w:lang w:eastAsia="zh-CN"/>
        </w:rPr>
        <w:t>。</w:t>
      </w:r>
    </w:p>
    <w:p w14:paraId="0D2F630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rightChars="0" w:firstLine="640"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（三）灵活就业人员。按单位职工费率标准进行参保，由个人缴纳，缴费费率为0.3%，灵活就业退休人员缴费费率为0.15%，缴费基数与本人基本医疗保险缴费基数一致。</w:t>
      </w:r>
    </w:p>
    <w:p w14:paraId="36A0756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rightChars="0" w:firstLine="640"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（四）未就业城乡居民。按年筹集资金，筹资由个人缴费和政府补助构成，二者比例为1:1左右。政府补助部分由中央、省、市、县（区）各级财政共同承担。制度启动当年费率按</w:t>
      </w:r>
      <w:r>
        <w:rPr>
          <w:rFonts w:hint="default" w:ascii="Times New Roman" w:hAnsi="Times New Roman" w:eastAsia="仿宋_GB2312" w:cs="Times New Roman"/>
          <w:kern w:val="2"/>
          <w:sz w:val="32"/>
          <w:szCs w:val="32"/>
          <w:highlight w:val="none"/>
          <w:lang w:val="en-US" w:eastAsia="zh-CN" w:bidi="ar-SA"/>
        </w:rPr>
        <w:t>0.15%执行，逐步过渡</w:t>
      </w:r>
      <w:r>
        <w:rPr>
          <w:rFonts w:hint="eastAsia" w:ascii="Times New Roman" w:hAnsi="Times New Roman" w:eastAsia="仿宋_GB2312" w:cs="Times New Roman"/>
          <w:kern w:val="2"/>
          <w:sz w:val="32"/>
          <w:szCs w:val="32"/>
          <w:highlight w:val="none"/>
          <w:lang w:val="en-US" w:eastAsia="zh-CN" w:bidi="ar-SA"/>
        </w:rPr>
        <w:t>至</w:t>
      </w:r>
      <w:r>
        <w:rPr>
          <w:rFonts w:hint="default" w:ascii="Times New Roman" w:hAnsi="Times New Roman" w:eastAsia="仿宋_GB2312" w:cs="Times New Roman"/>
          <w:kern w:val="2"/>
          <w:sz w:val="32"/>
          <w:szCs w:val="32"/>
          <w:highlight w:val="none"/>
          <w:lang w:val="en-US" w:eastAsia="zh-CN" w:bidi="ar-SA"/>
        </w:rPr>
        <w:t>0.3%</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缴费基数为</w:t>
      </w:r>
      <w:r>
        <w:rPr>
          <w:rFonts w:hint="eastAsia" w:ascii="Times New Roman" w:hAnsi="Times New Roman" w:eastAsia="仿宋_GB2312" w:cs="Times New Roman"/>
          <w:kern w:val="2"/>
          <w:sz w:val="32"/>
          <w:szCs w:val="32"/>
          <w:highlight w:val="none"/>
          <w:lang w:val="en-US" w:eastAsia="zh-CN" w:bidi="ar-SA"/>
        </w:rPr>
        <w:t>我市</w:t>
      </w:r>
      <w:r>
        <w:rPr>
          <w:rFonts w:hint="default" w:ascii="Times New Roman" w:hAnsi="Times New Roman" w:eastAsia="仿宋_GB2312" w:cs="Times New Roman"/>
          <w:kern w:val="2"/>
          <w:sz w:val="32"/>
          <w:szCs w:val="32"/>
          <w:highlight w:val="none"/>
          <w:lang w:val="en-US" w:eastAsia="zh-Hans" w:bidi="ar-SA"/>
        </w:rPr>
        <w:t>上年度城乡居民人均可支配收入</w:t>
      </w:r>
      <w:r>
        <w:rPr>
          <w:rFonts w:hint="eastAsia" w:ascii="Times New Roman" w:hAnsi="Times New Roman" w:eastAsia="仿宋_GB2312" w:cs="Times New Roman"/>
          <w:kern w:val="2"/>
          <w:sz w:val="32"/>
          <w:szCs w:val="32"/>
          <w:highlight w:val="none"/>
          <w:lang w:val="en-US" w:eastAsia="zh-CN" w:bidi="ar-SA"/>
        </w:rPr>
        <w:t>。</w:t>
      </w:r>
    </w:p>
    <w:p w14:paraId="7283D57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rightChars="0" w:firstLine="640"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18周岁以下未就业人员随其参加长护险的父母或其他法定抚养人参保，不单独筹资，但其本人须按规定参加本市城乡居民基本医疗保险；18周岁以下已合法就业人员，按本细则单位职工或灵活就业人员相关规定参保缴费并享受对应待遇。孤儿、事实无人抚养儿童等无法随抚养人参保的，经民政部门认定后，视同在户籍地参加本市长护险，不单独筹资。</w:t>
      </w:r>
    </w:p>
    <w:p w14:paraId="09F1991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rightChars="0" w:firstLine="643"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b/>
          <w:bCs/>
          <w:kern w:val="2"/>
          <w:sz w:val="32"/>
          <w:szCs w:val="32"/>
          <w:highlight w:val="none"/>
          <w:lang w:val="en-US" w:eastAsia="zh-CN" w:bidi="ar-SA"/>
        </w:rPr>
        <w:t xml:space="preserve">第十一条 </w:t>
      </w:r>
      <w:r>
        <w:rPr>
          <w:rFonts w:ascii="仿宋_GB2312" w:hAnsi="仿宋_GB2312" w:eastAsia="仿宋_GB2312" w:cs="仿宋_GB2312"/>
          <w:sz w:val="32"/>
          <w:szCs w:val="32"/>
          <w:highlight w:val="none"/>
          <w:lang w:eastAsia="zh-CN"/>
        </w:rPr>
        <w:t>长护险与基本医疗保险合并征收，</w:t>
      </w:r>
      <w:r>
        <w:rPr>
          <w:rFonts w:hint="eastAsia" w:ascii="Times New Roman" w:hAnsi="Times New Roman" w:eastAsia="仿宋_GB2312" w:cs="Times New Roman"/>
          <w:kern w:val="2"/>
          <w:sz w:val="32"/>
          <w:szCs w:val="32"/>
          <w:highlight w:val="none"/>
          <w:lang w:val="en-US" w:eastAsia="zh-CN" w:bidi="ar-SA"/>
        </w:rPr>
        <w:t>缴费方式如下：</w:t>
      </w:r>
    </w:p>
    <w:p w14:paraId="7BBBCC7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rightChars="0" w:firstLine="640"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（一）单位职工个人缴费由用人单位从其工资中代扣代缴，与单位缴费一并向税务部门申报缴纳；</w:t>
      </w:r>
    </w:p>
    <w:p w14:paraId="1B2DF90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rightChars="0" w:firstLine="640"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（二）</w:t>
      </w:r>
      <w:r>
        <w:rPr>
          <w:rFonts w:hint="eastAsia" w:ascii="Times New Roman" w:hAnsi="Times New Roman" w:eastAsia="仿宋_GB2312" w:cs="Times New Roman"/>
          <w:kern w:val="0"/>
          <w:sz w:val="32"/>
          <w:szCs w:val="32"/>
          <w:highlight w:val="none"/>
          <w:lang w:val="en-US" w:eastAsia="zh-CN" w:bidi="ar-SA"/>
        </w:rPr>
        <w:t>退休人员（含灵活就业退休人员）个人缴费部分，一般按月从其职工基本医疗保险个人账户中代扣代缴，经个人申报后，也可变更为自行向税务部门申报缴纳</w:t>
      </w:r>
      <w:r>
        <w:rPr>
          <w:rFonts w:hint="eastAsia" w:ascii="Times New Roman" w:hAnsi="Times New Roman" w:eastAsia="仿宋_GB2312" w:cs="Times New Roman"/>
          <w:kern w:val="2"/>
          <w:sz w:val="32"/>
          <w:szCs w:val="32"/>
          <w:highlight w:val="none"/>
          <w:lang w:val="en-US" w:eastAsia="zh-CN" w:bidi="ar-SA"/>
        </w:rPr>
        <w:t>；</w:t>
      </w:r>
    </w:p>
    <w:p w14:paraId="05D86D0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rightChars="0" w:firstLine="640"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（三）灵活就业人员（含单建统筹）个人缴费与职工基本医疗保险同步缴纳，自行向税务部门申报；</w:t>
      </w:r>
    </w:p>
    <w:p w14:paraId="51DD2E7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rightChars="0" w:firstLine="640"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（四）未就业城乡居民个人缴费</w:t>
      </w:r>
      <w:r>
        <w:rPr>
          <w:rFonts w:ascii="仿宋_GB2312" w:hAnsi="仿宋_GB2312" w:eastAsia="仿宋_GB2312" w:cs="仿宋_GB2312"/>
          <w:sz w:val="32"/>
          <w:szCs w:val="32"/>
          <w:highlight w:val="none"/>
          <w:lang w:eastAsia="zh-CN"/>
        </w:rPr>
        <w:t>与城乡居民基本医疗保险费共同缴纳</w:t>
      </w:r>
      <w:r>
        <w:rPr>
          <w:rFonts w:hint="eastAsia" w:ascii="仿宋_GB2312" w:hAnsi="仿宋_GB2312" w:eastAsia="仿宋_GB2312" w:cs="仿宋_GB2312"/>
          <w:sz w:val="32"/>
          <w:szCs w:val="32"/>
          <w:highlight w:val="none"/>
          <w:lang w:eastAsia="zh-CN"/>
        </w:rPr>
        <w:t>，</w:t>
      </w:r>
      <w:r>
        <w:rPr>
          <w:rFonts w:hint="eastAsia" w:ascii="Times New Roman" w:hAnsi="Times New Roman" w:eastAsia="仿宋_GB2312" w:cs="Times New Roman"/>
          <w:kern w:val="2"/>
          <w:sz w:val="32"/>
          <w:szCs w:val="32"/>
          <w:highlight w:val="none"/>
          <w:lang w:val="en-US" w:eastAsia="zh-CN" w:bidi="ar-SA"/>
        </w:rPr>
        <w:t>政府补助资金按规定划入长护险基金财政专户。</w:t>
      </w:r>
    </w:p>
    <w:p w14:paraId="5711203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rightChars="0" w:firstLine="643"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b/>
          <w:bCs/>
          <w:kern w:val="2"/>
          <w:sz w:val="32"/>
          <w:szCs w:val="32"/>
          <w:highlight w:val="none"/>
          <w:lang w:val="en-US" w:eastAsia="zh-CN" w:bidi="ar-SA"/>
        </w:rPr>
        <w:t>第十二条</w:t>
      </w:r>
      <w:r>
        <w:rPr>
          <w:rFonts w:hint="eastAsia" w:ascii="Times New Roman" w:hAnsi="Times New Roman" w:eastAsia="仿宋_GB2312" w:cs="Times New Roman"/>
          <w:kern w:val="2"/>
          <w:sz w:val="32"/>
          <w:szCs w:val="32"/>
          <w:highlight w:val="none"/>
          <w:lang w:val="en-US" w:eastAsia="zh-CN" w:bidi="ar-SA"/>
        </w:rPr>
        <w:t xml:space="preserve"> 政府对符合条件的困难人群个人缴费部分予以分类资助：全额资助特困人员；定额资助低保对象、符合条件的防止返贫致贫对象等。具体资助标准按省政府规定执行。</w:t>
      </w:r>
    </w:p>
    <w:p w14:paraId="2C67830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right="0" w:rightChars="0" w:firstLine="643"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b/>
          <w:bCs/>
          <w:strike w:val="0"/>
          <w:dstrike w:val="0"/>
          <w:kern w:val="2"/>
          <w:sz w:val="32"/>
          <w:szCs w:val="32"/>
          <w:highlight w:val="none"/>
          <w:shd w:val="clear" w:color="auto" w:fill="auto"/>
          <w:lang w:val="en-US" w:eastAsia="zh-CN" w:bidi="ar-SA"/>
        </w:rPr>
        <w:t>第十三条</w:t>
      </w:r>
      <w:r>
        <w:rPr>
          <w:rFonts w:hint="eastAsia" w:ascii="Times New Roman" w:hAnsi="Times New Roman" w:eastAsia="仿宋_GB2312" w:cs="Times New Roman"/>
          <w:strike w:val="0"/>
          <w:dstrike w:val="0"/>
          <w:kern w:val="2"/>
          <w:sz w:val="32"/>
          <w:szCs w:val="32"/>
          <w:highlight w:val="none"/>
          <w:shd w:val="clear" w:color="auto" w:fill="auto"/>
          <w:lang w:val="en-US" w:eastAsia="zh-CN" w:bidi="ar-SA"/>
        </w:rPr>
        <w:t xml:space="preserve"> 职</w:t>
      </w:r>
      <w:r>
        <w:rPr>
          <w:rFonts w:hint="eastAsia" w:ascii="Times New Roman" w:hAnsi="Times New Roman" w:eastAsia="仿宋_GB2312" w:cs="Times New Roman"/>
          <w:kern w:val="2"/>
          <w:sz w:val="32"/>
          <w:szCs w:val="32"/>
          <w:highlight w:val="none"/>
          <w:lang w:val="en-US" w:eastAsia="zh-CN" w:bidi="ar-SA"/>
        </w:rPr>
        <w:t>工基本医疗保险个人账户资金可用于本人及近亲属（配偶、父母、子女、兄弟姐妹、祖父母、外祖父母、孙子女、外孙子女）参加长护险的个人缴费。</w:t>
      </w:r>
    </w:p>
    <w:p w14:paraId="56A81A7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right="0" w:rightChars="0" w:firstLine="643" w:firstLineChars="200"/>
        <w:jc w:val="both"/>
        <w:textAlignment w:val="auto"/>
        <w:rPr>
          <w:rFonts w:hint="eastAsia" w:ascii="Times New Roman" w:hAnsi="Times New Roman" w:eastAsia="仿宋_GB2312" w:cs="Times New Roman"/>
          <w:b w:val="0"/>
          <w:bCs w:val="0"/>
          <w:kern w:val="2"/>
          <w:sz w:val="32"/>
          <w:szCs w:val="32"/>
          <w:highlight w:val="none"/>
          <w:lang w:val="en-US" w:eastAsia="zh-CN" w:bidi="ar-SA"/>
        </w:rPr>
      </w:pPr>
      <w:r>
        <w:rPr>
          <w:rFonts w:hint="eastAsia" w:ascii="Times New Roman" w:hAnsi="Times New Roman" w:eastAsia="仿宋_GB2312" w:cs="Times New Roman"/>
          <w:b/>
          <w:bCs/>
          <w:kern w:val="2"/>
          <w:sz w:val="32"/>
          <w:szCs w:val="32"/>
          <w:highlight w:val="none"/>
          <w:lang w:val="en-US" w:eastAsia="zh-CN" w:bidi="ar-SA"/>
        </w:rPr>
        <w:t>第十四条</w:t>
      </w:r>
      <w:r>
        <w:rPr>
          <w:rFonts w:hint="eastAsia" w:ascii="Times New Roman" w:hAnsi="Times New Roman" w:eastAsia="仿宋_GB2312" w:cs="Times New Roman"/>
          <w:b w:val="0"/>
          <w:bCs w:val="0"/>
          <w:kern w:val="2"/>
          <w:sz w:val="32"/>
          <w:szCs w:val="32"/>
          <w:highlight w:val="none"/>
          <w:lang w:val="en-US" w:eastAsia="zh-CN" w:bidi="ar-SA"/>
        </w:rPr>
        <w:t xml:space="preserve"> 长护险设置待遇等待期。除新生儿、困难群体资助对象等特殊情形外，对未在本市长护险制度启动时（覆盖职工或未就业城乡居民的年度）按规定参保缴费或中断缴费后再次参保的，设置6个月待遇等待期。</w:t>
      </w:r>
    </w:p>
    <w:p w14:paraId="44A0845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eastAsia" w:ascii="Times New Roman" w:hAnsi="Times New Roman" w:eastAsia="仿宋_GB2312" w:cs="Times New Roman"/>
          <w:b w:val="0"/>
          <w:bCs w:val="0"/>
          <w:kern w:val="2"/>
          <w:sz w:val="32"/>
          <w:szCs w:val="32"/>
          <w:highlight w:val="none"/>
          <w:lang w:val="en-US" w:eastAsia="zh-CN" w:bidi="ar-SA"/>
        </w:rPr>
      </w:pPr>
      <w:r>
        <w:rPr>
          <w:rFonts w:hint="eastAsia" w:ascii="Times New Roman" w:hAnsi="Times New Roman" w:eastAsia="仿宋_GB2312" w:cs="Times New Roman"/>
          <w:b w:val="0"/>
          <w:bCs w:val="0"/>
          <w:kern w:val="2"/>
          <w:sz w:val="32"/>
          <w:szCs w:val="32"/>
          <w:highlight w:val="none"/>
          <w:lang w:val="en-US" w:eastAsia="zh-CN" w:bidi="ar-SA"/>
        </w:rPr>
        <w:t>用人单位及其职工（含灵活就业人员）自参保缴费到账的第7个月起，按规定享受长护险待遇。未按时足额缴纳保险费的，自欠费次月起暂停待遇；灵活就业人员欠费超过6个月且未达到法定退休年龄的，再次参保缴费按新参保人员管理。</w:t>
      </w:r>
    </w:p>
    <w:p w14:paraId="2B928F0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eastAsia" w:ascii="Times New Roman" w:hAnsi="Times New Roman" w:eastAsia="仿宋_GB2312" w:cs="Times New Roman"/>
          <w:b w:val="0"/>
          <w:bCs w:val="0"/>
          <w:kern w:val="2"/>
          <w:sz w:val="32"/>
          <w:szCs w:val="32"/>
          <w:highlight w:val="none"/>
          <w:lang w:val="en-US" w:eastAsia="zh-CN" w:bidi="ar-SA"/>
        </w:rPr>
      </w:pPr>
      <w:r>
        <w:rPr>
          <w:rFonts w:hint="eastAsia" w:ascii="Times New Roman" w:hAnsi="Times New Roman" w:eastAsia="仿宋_GB2312" w:cs="Times New Roman"/>
          <w:b w:val="0"/>
          <w:bCs w:val="0"/>
          <w:kern w:val="2"/>
          <w:sz w:val="32"/>
          <w:szCs w:val="32"/>
          <w:highlight w:val="none"/>
          <w:lang w:val="en-US" w:eastAsia="zh-CN" w:bidi="ar-SA"/>
        </w:rPr>
        <w:t>未就业城乡居民未按规定参保缴费或中断缴费后再次参保的，待遇等待期随断保年限相应延长。</w:t>
      </w:r>
    </w:p>
    <w:p w14:paraId="6CA4417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right="0" w:rightChars="0" w:firstLine="643"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b/>
          <w:bCs/>
          <w:kern w:val="2"/>
          <w:sz w:val="32"/>
          <w:szCs w:val="32"/>
          <w:highlight w:val="none"/>
          <w:lang w:val="en-US" w:eastAsia="zh-CN" w:bidi="ar-SA"/>
        </w:rPr>
        <w:t xml:space="preserve">第十五条 </w:t>
      </w:r>
      <w:r>
        <w:rPr>
          <w:rFonts w:ascii="仿宋_GB2312" w:hAnsi="仿宋_GB2312" w:eastAsia="仿宋_GB2312" w:cs="仿宋_GB2312"/>
          <w:sz w:val="32"/>
          <w:szCs w:val="32"/>
          <w:highlight w:val="none"/>
          <w:lang w:eastAsia="zh-CN"/>
        </w:rPr>
        <w:t>鼓励</w:t>
      </w:r>
      <w:r>
        <w:rPr>
          <w:rFonts w:hint="default" w:ascii="Times New Roman" w:hAnsi="Times New Roman" w:eastAsia="仿宋_GB2312" w:cs="Times New Roman"/>
          <w:kern w:val="2"/>
          <w:sz w:val="32"/>
          <w:szCs w:val="32"/>
          <w:highlight w:val="none"/>
          <w:lang w:val="en-US" w:eastAsia="zh-CN" w:bidi="ar-SA"/>
        </w:rPr>
        <w:t>企业、单位、慈善机构等社会团体</w:t>
      </w:r>
      <w:r>
        <w:rPr>
          <w:rFonts w:ascii="仿宋_GB2312" w:hAnsi="仿宋_GB2312" w:eastAsia="仿宋_GB2312" w:cs="仿宋_GB2312"/>
          <w:sz w:val="32"/>
          <w:szCs w:val="32"/>
          <w:highlight w:val="none"/>
          <w:lang w:eastAsia="zh-CN"/>
        </w:rPr>
        <w:t>通过慈善捐赠、社会互助等多种渠道，对特定困难群体参加长护险的个人缴费部分和享受待遇时的自付费用给予补助</w:t>
      </w:r>
      <w:r>
        <w:rPr>
          <w:rFonts w:hint="default" w:ascii="Times New Roman" w:hAnsi="Times New Roman" w:eastAsia="仿宋_GB2312" w:cs="Times New Roman"/>
          <w:kern w:val="2"/>
          <w:sz w:val="32"/>
          <w:szCs w:val="32"/>
          <w:highlight w:val="none"/>
          <w:lang w:val="en-US" w:eastAsia="zh-CN" w:bidi="ar-SA"/>
        </w:rPr>
        <w:t>，捐助资金归入长护险基金。</w:t>
      </w:r>
    </w:p>
    <w:p w14:paraId="35578AE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right="0" w:rightChars="0"/>
        <w:jc w:val="center"/>
        <w:textAlignment w:val="auto"/>
        <w:rPr>
          <w:rFonts w:hint="eastAsia" w:ascii="Times New Roman" w:hAnsi="Times New Roman" w:eastAsia="仿宋_GB2312" w:cs="Times New Roman"/>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第三章 失能评估</w:t>
      </w:r>
    </w:p>
    <w:p w14:paraId="0D61FC5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rightChars="0" w:firstLine="643"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b/>
          <w:bCs/>
          <w:kern w:val="2"/>
          <w:sz w:val="32"/>
          <w:szCs w:val="32"/>
          <w:highlight w:val="none"/>
          <w:lang w:val="en-US" w:eastAsia="zh-CN" w:bidi="ar-SA"/>
        </w:rPr>
        <w:t>第十六条</w:t>
      </w:r>
      <w:r>
        <w:rPr>
          <w:rFonts w:hint="eastAsia" w:ascii="Times New Roman" w:hAnsi="Times New Roman" w:eastAsia="仿宋_GB2312" w:cs="Times New Roman"/>
          <w:kern w:val="2"/>
          <w:sz w:val="32"/>
          <w:szCs w:val="32"/>
          <w:highlight w:val="none"/>
          <w:lang w:val="en-US" w:eastAsia="zh-CN" w:bidi="ar-SA"/>
        </w:rPr>
        <w:t xml:space="preserve"> 失能等级评估由市医保部门统一组织实施。市医保行政部门根据国家和省相关规定明确定点评估机构和评估人员条件、评估流程等；评估标准采用国家统一的《长期护理失能等级评估标准（试行）》，由定点评估机构对参保人日常生活活动、认知、感知觉与沟通等实施综合评估，确定失能等级。</w:t>
      </w:r>
    </w:p>
    <w:p w14:paraId="29BE747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rightChars="0" w:firstLine="643"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b/>
          <w:bCs/>
          <w:kern w:val="2"/>
          <w:sz w:val="32"/>
          <w:szCs w:val="32"/>
          <w:highlight w:val="none"/>
          <w:lang w:val="en-US" w:eastAsia="zh-CN" w:bidi="ar-SA"/>
        </w:rPr>
        <w:t>第十七条</w:t>
      </w:r>
      <w:r>
        <w:rPr>
          <w:rFonts w:hint="eastAsia" w:ascii="Times New Roman" w:hAnsi="Times New Roman" w:eastAsia="仿宋_GB2312" w:cs="Times New Roman"/>
          <w:kern w:val="2"/>
          <w:sz w:val="32"/>
          <w:szCs w:val="32"/>
          <w:highlight w:val="none"/>
          <w:lang w:val="en-US" w:eastAsia="zh-CN" w:bidi="ar-SA"/>
        </w:rPr>
        <w:t xml:space="preserve"> 经自评符合重度失能标准的，由参保人或其监护人、委托代理人向参保地医保经办机构提出失能评估申请，申请时须如实填写《长期护理失能等级评估申请表》、《长期护理失能等级自评表》，并提交申请人和其监护人、委托代理人有效身份证（或户口簿）原件和复印件，医疗机构出具的诊断证明、住院病历以及医保经办机构要求提供的其他材料。</w:t>
      </w:r>
    </w:p>
    <w:p w14:paraId="6D51A37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rightChars="0" w:firstLine="640"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参保地医保经办机构收到申请后，应及时对申请材料进行初审，对不符合申报条件的告知理由，对材料不全的一次性说明需补正内容。初审通过的，5个工作日内完成复核并将审核意见及申报材料一并提交至市医保经办机构。</w:t>
      </w:r>
    </w:p>
    <w:p w14:paraId="31B6D1DE">
      <w:pPr>
        <w:keepNext w:val="0"/>
        <w:keepLines w:val="0"/>
        <w:pageBreakBefore w:val="0"/>
        <w:kinsoku/>
        <w:overflowPunct/>
        <w:topLinePunct w:val="0"/>
        <w:autoSpaceDE/>
        <w:autoSpaceDN/>
        <w:bidi w:val="0"/>
        <w:adjustRightInd/>
        <w:snapToGrid/>
        <w:spacing w:line="520" w:lineRule="exact"/>
        <w:ind w:right="0" w:rightChars="0" w:firstLine="643"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b/>
          <w:bCs/>
          <w:kern w:val="2"/>
          <w:sz w:val="32"/>
          <w:szCs w:val="32"/>
          <w:highlight w:val="none"/>
          <w:lang w:val="en-US" w:eastAsia="zh-CN" w:bidi="ar-SA"/>
        </w:rPr>
        <w:t xml:space="preserve">第十八条 </w:t>
      </w:r>
      <w:r>
        <w:rPr>
          <w:rFonts w:hint="default" w:ascii="Times New Roman" w:hAnsi="Times New Roman" w:eastAsia="仿宋_GB2312" w:cs="Times New Roman"/>
          <w:kern w:val="2"/>
          <w:sz w:val="32"/>
          <w:szCs w:val="32"/>
          <w:highlight w:val="none"/>
          <w:lang w:val="en-US" w:eastAsia="zh-CN" w:bidi="ar-SA"/>
        </w:rPr>
        <w:t>有下列情形</w:t>
      </w:r>
      <w:r>
        <w:rPr>
          <w:rFonts w:hint="eastAsia" w:ascii="Times New Roman" w:hAnsi="Times New Roman" w:eastAsia="仿宋_GB2312" w:cs="Times New Roman"/>
          <w:kern w:val="2"/>
          <w:sz w:val="32"/>
          <w:szCs w:val="32"/>
          <w:highlight w:val="none"/>
          <w:lang w:val="en-US" w:eastAsia="zh-CN" w:bidi="ar-SA"/>
        </w:rPr>
        <w:t>之一</w:t>
      </w:r>
      <w:r>
        <w:rPr>
          <w:rFonts w:hint="default" w:ascii="Times New Roman" w:hAnsi="Times New Roman" w:eastAsia="仿宋_GB2312" w:cs="Times New Roman"/>
          <w:kern w:val="2"/>
          <w:sz w:val="32"/>
          <w:szCs w:val="32"/>
          <w:highlight w:val="none"/>
          <w:lang w:val="en-US" w:eastAsia="zh-CN" w:bidi="ar-SA"/>
        </w:rPr>
        <w:t>的，失能等级评估申请</w:t>
      </w:r>
      <w:r>
        <w:rPr>
          <w:rFonts w:hint="eastAsia" w:ascii="Times New Roman" w:hAnsi="Times New Roman" w:eastAsia="仿宋_GB2312" w:cs="Times New Roman"/>
          <w:kern w:val="2"/>
          <w:sz w:val="32"/>
          <w:szCs w:val="32"/>
          <w:highlight w:val="none"/>
          <w:lang w:val="en-US" w:eastAsia="zh-CN" w:bidi="ar-SA"/>
        </w:rPr>
        <w:t>不予受理</w:t>
      </w:r>
      <w:r>
        <w:rPr>
          <w:rFonts w:hint="default" w:ascii="Times New Roman" w:hAnsi="Times New Roman" w:eastAsia="仿宋_GB2312" w:cs="Times New Roman"/>
          <w:kern w:val="2"/>
          <w:sz w:val="32"/>
          <w:szCs w:val="32"/>
          <w:highlight w:val="none"/>
          <w:lang w:val="en-US" w:eastAsia="zh-CN" w:bidi="ar-SA"/>
        </w:rPr>
        <w:t>：</w:t>
      </w:r>
    </w:p>
    <w:p w14:paraId="15EF73FD">
      <w:pPr>
        <w:pStyle w:val="7"/>
        <w:keepNext w:val="0"/>
        <w:keepLines w:val="0"/>
        <w:pageBreakBefore w:val="0"/>
        <w:widowControl/>
        <w:kinsoku/>
        <w:overflowPunct/>
        <w:topLinePunct w:val="0"/>
        <w:autoSpaceDE/>
        <w:autoSpaceDN/>
        <w:bidi w:val="0"/>
        <w:adjustRightInd/>
        <w:snapToGrid/>
        <w:spacing w:before="0" w:beforeAutospacing="0" w:after="0" w:afterAutospacing="0" w:line="520" w:lineRule="exact"/>
        <w:ind w:right="0" w:rightChars="0" w:firstLine="64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（一）未按规定参加本市长护险或</w:t>
      </w:r>
      <w:r>
        <w:rPr>
          <w:rFonts w:hint="eastAsia" w:ascii="Times New Roman" w:hAnsi="Times New Roman" w:eastAsia="仿宋_GB2312" w:cs="Times New Roman"/>
          <w:kern w:val="2"/>
          <w:sz w:val="32"/>
          <w:szCs w:val="32"/>
          <w:highlight w:val="none"/>
          <w:lang w:val="en-US" w:eastAsia="zh-CN" w:bidi="ar-SA"/>
        </w:rPr>
        <w:t>处于长护险待遇等待期</w:t>
      </w:r>
      <w:r>
        <w:rPr>
          <w:rFonts w:hint="default" w:ascii="Times New Roman" w:hAnsi="Times New Roman" w:eastAsia="仿宋_GB2312" w:cs="Times New Roman"/>
          <w:kern w:val="2"/>
          <w:sz w:val="32"/>
          <w:szCs w:val="32"/>
          <w:highlight w:val="none"/>
          <w:lang w:val="en-US" w:eastAsia="zh-CN" w:bidi="ar-SA"/>
        </w:rPr>
        <w:t>的；</w:t>
      </w:r>
    </w:p>
    <w:p w14:paraId="0DF291F4">
      <w:pPr>
        <w:pStyle w:val="7"/>
        <w:keepNext w:val="0"/>
        <w:keepLines w:val="0"/>
        <w:pageBreakBefore w:val="0"/>
        <w:widowControl/>
        <w:kinsoku/>
        <w:overflowPunct/>
        <w:topLinePunct w:val="0"/>
        <w:autoSpaceDE/>
        <w:autoSpaceDN/>
        <w:bidi w:val="0"/>
        <w:adjustRightInd/>
        <w:snapToGrid/>
        <w:spacing w:before="0" w:beforeAutospacing="0" w:after="0" w:afterAutospacing="0" w:line="520" w:lineRule="exact"/>
        <w:ind w:right="0" w:rightChars="0" w:firstLine="64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（二）</w:t>
      </w:r>
      <w:r>
        <w:rPr>
          <w:rFonts w:hint="eastAsia" w:ascii="Times New Roman" w:hAnsi="Times New Roman" w:eastAsia="仿宋_GB2312" w:cs="Times New Roman"/>
          <w:kern w:val="2"/>
          <w:sz w:val="32"/>
          <w:szCs w:val="32"/>
          <w:highlight w:val="none"/>
          <w:lang w:val="en-US" w:eastAsia="zh-CN" w:bidi="ar-SA"/>
        </w:rPr>
        <w:t>失能状态</w:t>
      </w:r>
      <w:r>
        <w:rPr>
          <w:rFonts w:hint="default" w:ascii="Times New Roman" w:hAnsi="Times New Roman" w:eastAsia="仿宋_GB2312" w:cs="Times New Roman"/>
          <w:kern w:val="2"/>
          <w:sz w:val="32"/>
          <w:szCs w:val="32"/>
          <w:highlight w:val="none"/>
          <w:lang w:val="en-US" w:eastAsia="zh-CN" w:bidi="ar-SA"/>
        </w:rPr>
        <w:t>持续时间不足6个月</w:t>
      </w:r>
      <w:r>
        <w:rPr>
          <w:rFonts w:hint="eastAsia" w:ascii="Times New Roman" w:hAnsi="Times New Roman" w:eastAsia="仿宋_GB2312" w:cs="Times New Roman"/>
          <w:kern w:val="2"/>
          <w:sz w:val="32"/>
          <w:szCs w:val="32"/>
          <w:highlight w:val="none"/>
          <w:lang w:val="en-US" w:eastAsia="zh-CN" w:bidi="ar-SA"/>
        </w:rPr>
        <w:t>、病情不稳定或仍在住院治疗的</w:t>
      </w:r>
      <w:r>
        <w:rPr>
          <w:rFonts w:hint="default" w:ascii="Times New Roman" w:hAnsi="Times New Roman" w:eastAsia="仿宋_GB2312" w:cs="Times New Roman"/>
          <w:kern w:val="2"/>
          <w:sz w:val="32"/>
          <w:szCs w:val="32"/>
          <w:highlight w:val="none"/>
          <w:lang w:val="en-US" w:eastAsia="zh-CN" w:bidi="ar-SA"/>
        </w:rPr>
        <w:t>；</w:t>
      </w:r>
    </w:p>
    <w:p w14:paraId="2378AB66">
      <w:pPr>
        <w:pStyle w:val="7"/>
        <w:keepNext w:val="0"/>
        <w:keepLines w:val="0"/>
        <w:pageBreakBefore w:val="0"/>
        <w:widowControl/>
        <w:kinsoku/>
        <w:overflowPunct/>
        <w:topLinePunct w:val="0"/>
        <w:autoSpaceDE/>
        <w:autoSpaceDN/>
        <w:bidi w:val="0"/>
        <w:adjustRightInd/>
        <w:snapToGrid/>
        <w:spacing w:before="0" w:beforeAutospacing="0" w:after="0" w:afterAutospacing="0" w:line="520" w:lineRule="exact"/>
        <w:ind w:right="0" w:rightChars="0" w:firstLine="64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（三）评估申请材料不齐全且未在规定期限内补正，或提供虚假、伪造申报材料的；</w:t>
      </w:r>
    </w:p>
    <w:p w14:paraId="17D574DF">
      <w:pPr>
        <w:pStyle w:val="7"/>
        <w:keepNext w:val="0"/>
        <w:keepLines w:val="0"/>
        <w:pageBreakBefore w:val="0"/>
        <w:widowControl/>
        <w:kinsoku/>
        <w:overflowPunct/>
        <w:topLinePunct w:val="0"/>
        <w:autoSpaceDE/>
        <w:autoSpaceDN/>
        <w:bidi w:val="0"/>
        <w:adjustRightInd/>
        <w:snapToGrid/>
        <w:spacing w:before="0" w:beforeAutospacing="0" w:after="0" w:afterAutospacing="0" w:line="520" w:lineRule="exact"/>
        <w:ind w:right="0" w:rightChars="0" w:firstLine="640"/>
        <w:jc w:val="both"/>
        <w:textAlignment w:val="auto"/>
        <w:rPr>
          <w:rFonts w:hint="eastAsia"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（四）</w:t>
      </w:r>
      <w:r>
        <w:rPr>
          <w:rFonts w:hint="eastAsia" w:ascii="Times New Roman" w:hAnsi="Times New Roman" w:eastAsia="仿宋_GB2312" w:cs="Times New Roman"/>
          <w:kern w:val="2"/>
          <w:sz w:val="32"/>
          <w:szCs w:val="32"/>
          <w:highlight w:val="none"/>
          <w:lang w:val="en-US" w:eastAsia="zh-CN" w:bidi="ar-SA"/>
        </w:rPr>
        <w:t>距上次评估结论出具未满6个月的；</w:t>
      </w:r>
    </w:p>
    <w:p w14:paraId="05B95166">
      <w:pPr>
        <w:pStyle w:val="7"/>
        <w:keepNext w:val="0"/>
        <w:keepLines w:val="0"/>
        <w:pageBreakBefore w:val="0"/>
        <w:widowControl/>
        <w:kinsoku/>
        <w:overflowPunct/>
        <w:topLinePunct w:val="0"/>
        <w:autoSpaceDE/>
        <w:autoSpaceDN/>
        <w:bidi w:val="0"/>
        <w:adjustRightInd/>
        <w:snapToGrid/>
        <w:spacing w:before="0" w:beforeAutospacing="0" w:after="0" w:afterAutospacing="0" w:line="520" w:lineRule="exact"/>
        <w:ind w:right="0" w:rightChars="0" w:firstLine="640"/>
        <w:jc w:val="both"/>
        <w:textAlignment w:val="auto"/>
        <w:rPr>
          <w:rFonts w:hint="eastAsia"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五</w:t>
      </w:r>
      <w:r>
        <w:rPr>
          <w:rFonts w:hint="default" w:ascii="Times New Roman" w:hAnsi="Times New Roman" w:eastAsia="仿宋_GB2312" w:cs="Times New Roman"/>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因工伤导致生活不能自理的；</w:t>
      </w:r>
    </w:p>
    <w:p w14:paraId="5D071909">
      <w:pPr>
        <w:pStyle w:val="7"/>
        <w:keepNext w:val="0"/>
        <w:keepLines w:val="0"/>
        <w:pageBreakBefore w:val="0"/>
        <w:widowControl/>
        <w:kinsoku/>
        <w:overflowPunct/>
        <w:topLinePunct w:val="0"/>
        <w:autoSpaceDE/>
        <w:autoSpaceDN/>
        <w:bidi w:val="0"/>
        <w:adjustRightInd/>
        <w:snapToGrid/>
        <w:spacing w:before="0" w:beforeAutospacing="0" w:after="0" w:afterAutospacing="0" w:line="520" w:lineRule="exact"/>
        <w:ind w:right="0" w:rightChars="0" w:firstLine="64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（六）</w:t>
      </w:r>
      <w:r>
        <w:rPr>
          <w:rFonts w:hint="default" w:ascii="Times New Roman" w:hAnsi="Times New Roman" w:eastAsia="仿宋_GB2312" w:cs="Times New Roman"/>
          <w:kern w:val="2"/>
          <w:sz w:val="32"/>
          <w:szCs w:val="32"/>
          <w:highlight w:val="none"/>
          <w:lang w:val="en-US" w:eastAsia="zh-CN" w:bidi="ar-SA"/>
        </w:rPr>
        <w:t>其他不予受理评估申请的情形。</w:t>
      </w:r>
    </w:p>
    <w:p w14:paraId="08910E86">
      <w:pPr>
        <w:pStyle w:val="7"/>
        <w:keepNext w:val="0"/>
        <w:keepLines w:val="0"/>
        <w:pageBreakBefore w:val="0"/>
        <w:widowControl/>
        <w:kinsoku/>
        <w:overflowPunct/>
        <w:topLinePunct w:val="0"/>
        <w:autoSpaceDE/>
        <w:autoSpaceDN/>
        <w:bidi w:val="0"/>
        <w:adjustRightInd/>
        <w:snapToGrid/>
        <w:spacing w:before="0" w:beforeAutospacing="0" w:after="0" w:afterAutospacing="0" w:line="520" w:lineRule="exact"/>
        <w:ind w:right="0" w:rightChars="0" w:firstLine="64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b/>
          <w:bCs/>
          <w:kern w:val="2"/>
          <w:sz w:val="32"/>
          <w:szCs w:val="32"/>
          <w:highlight w:val="none"/>
          <w:lang w:val="en-US" w:eastAsia="zh-CN" w:bidi="ar-SA"/>
        </w:rPr>
        <w:t>第十九条</w:t>
      </w:r>
      <w:r>
        <w:rPr>
          <w:rFonts w:hint="eastAsia" w:ascii="Times New Roman" w:hAnsi="Times New Roman" w:eastAsia="仿宋_GB2312" w:cs="Times New Roman"/>
          <w:kern w:val="2"/>
          <w:sz w:val="32"/>
          <w:szCs w:val="32"/>
          <w:highlight w:val="none"/>
          <w:lang w:val="en-US" w:eastAsia="zh-CN" w:bidi="ar-SA"/>
        </w:rPr>
        <w:t xml:space="preserve"> 市医保经办机构结合审核意见及申报材料，组织定点评估机构开展现场评估。评估工作须由不少于2名评估人员上门（其中至少有1名评估专家），依据国家统一的评估操作指南采集信息并实施评估。评估时，应有至少1名评估对象的监护人或委托代理人在场。</w:t>
      </w:r>
    </w:p>
    <w:p w14:paraId="00DA411E">
      <w:pPr>
        <w:pStyle w:val="7"/>
        <w:keepNext w:val="0"/>
        <w:keepLines w:val="0"/>
        <w:pageBreakBefore w:val="0"/>
        <w:widowControl/>
        <w:kinsoku/>
        <w:overflowPunct/>
        <w:topLinePunct w:val="0"/>
        <w:autoSpaceDE/>
        <w:autoSpaceDN/>
        <w:bidi w:val="0"/>
        <w:adjustRightInd/>
        <w:snapToGrid/>
        <w:spacing w:before="0" w:beforeAutospacing="0" w:after="0" w:afterAutospacing="0" w:line="520" w:lineRule="exact"/>
        <w:ind w:right="0" w:rightChars="0" w:firstLine="64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评估机构可通过在邻里、社区等范围内走访调查，核实评估对象基本生活自理情况，同步做好调查笔录及视频录像；并结合评估对象诊断证明、住院病历等相关资料，作为评估结论的佐证依据。</w:t>
      </w:r>
    </w:p>
    <w:p w14:paraId="7A50117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rightChars="0" w:firstLine="643"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b/>
          <w:bCs/>
          <w:kern w:val="2"/>
          <w:sz w:val="32"/>
          <w:szCs w:val="32"/>
          <w:highlight w:val="none"/>
          <w:lang w:val="en-US" w:eastAsia="zh-CN" w:bidi="ar-SA"/>
        </w:rPr>
        <w:t xml:space="preserve">第二十条 </w:t>
      </w:r>
      <w:r>
        <w:rPr>
          <w:rFonts w:hint="eastAsia" w:ascii="Times New Roman" w:hAnsi="Times New Roman" w:eastAsia="仿宋_GB2312" w:cs="Times New Roman"/>
          <w:kern w:val="2"/>
          <w:sz w:val="32"/>
          <w:szCs w:val="32"/>
          <w:highlight w:val="none"/>
          <w:lang w:val="en-US" w:eastAsia="zh-CN" w:bidi="ar-SA"/>
        </w:rPr>
        <w:t>评估人员应严格执行评估操作规范要求，独立、客观、公正地开展评估工作，与评估对象有亲属关系或利害关系的应当回避。</w:t>
      </w:r>
    </w:p>
    <w:p w14:paraId="3547F27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rightChars="0" w:firstLine="643"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b/>
          <w:bCs/>
          <w:kern w:val="2"/>
          <w:sz w:val="32"/>
          <w:szCs w:val="32"/>
          <w:highlight w:val="none"/>
          <w:lang w:val="en-US" w:eastAsia="zh-CN" w:bidi="ar-SA"/>
        </w:rPr>
        <w:t xml:space="preserve">第二十一条 </w:t>
      </w:r>
      <w:r>
        <w:rPr>
          <w:rFonts w:hint="eastAsia" w:ascii="Times New Roman" w:hAnsi="Times New Roman" w:eastAsia="仿宋_GB2312" w:cs="Times New Roman"/>
          <w:kern w:val="2"/>
          <w:sz w:val="32"/>
          <w:szCs w:val="32"/>
          <w:highlight w:val="none"/>
          <w:lang w:val="en-US" w:eastAsia="zh-CN" w:bidi="ar-SA"/>
        </w:rPr>
        <w:t>评估对象或其监护人、委托代理人应当积极配合开展现场评估工作，有下列情形之一的，评估终止：</w:t>
      </w:r>
    </w:p>
    <w:p w14:paraId="60A4C9C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rightChars="0" w:firstLine="640"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（一）拒不接受失能等级评估信息采集的；</w:t>
      </w:r>
    </w:p>
    <w:p w14:paraId="7EC10E9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rightChars="0" w:firstLine="640"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（二）无正当理由不配合失能等级评估的；</w:t>
      </w:r>
    </w:p>
    <w:p w14:paraId="3636EE3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rightChars="0" w:firstLine="640" w:firstLineChars="200"/>
        <w:jc w:val="both"/>
        <w:textAlignment w:val="auto"/>
        <w:rPr>
          <w:rFonts w:hint="eastAsia" w:ascii="Times New Roman" w:hAnsi="Times New Roman" w:eastAsia="仿宋_GB2312" w:cs="Times New Roman"/>
          <w:b/>
          <w:bCs/>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（三）其他原因导致失能等级评估终止的。</w:t>
      </w:r>
    </w:p>
    <w:p w14:paraId="51C4E4B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rightChars="0" w:firstLine="643"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b/>
          <w:bCs/>
          <w:kern w:val="2"/>
          <w:sz w:val="32"/>
          <w:szCs w:val="32"/>
          <w:highlight w:val="none"/>
          <w:lang w:val="en-US" w:eastAsia="zh-CN" w:bidi="ar-SA"/>
        </w:rPr>
        <w:t xml:space="preserve">第二十二条 </w:t>
      </w:r>
      <w:r>
        <w:rPr>
          <w:rFonts w:hint="eastAsia" w:ascii="Times New Roman" w:hAnsi="Times New Roman" w:eastAsia="仿宋_GB2312" w:cs="Times New Roman"/>
          <w:color w:val="000000"/>
          <w:sz w:val="32"/>
          <w:szCs w:val="32"/>
          <w:highlight w:val="none"/>
          <w:shd w:val="clear" w:color="auto" w:fill="FFFFFF"/>
          <w:lang w:eastAsia="zh-CN" w:bidi="ar-SA"/>
        </w:rPr>
        <w:t>评估专家完成现场评估信息采集后，由定点评估机构组织评估专家提出评估结论。评估结论须经至少</w:t>
      </w:r>
      <w:r>
        <w:rPr>
          <w:rFonts w:hint="eastAsia" w:ascii="Times New Roman" w:hAnsi="Times New Roman" w:eastAsia="仿宋_GB2312" w:cs="Times New Roman"/>
          <w:color w:val="000000"/>
          <w:sz w:val="32"/>
          <w:szCs w:val="32"/>
          <w:highlight w:val="none"/>
          <w:shd w:val="clear" w:color="auto" w:fill="FFFFFF"/>
          <w:lang w:val="en-US" w:eastAsia="zh-CN" w:bidi="ar-SA"/>
        </w:rPr>
        <w:t>2</w:t>
      </w:r>
      <w:r>
        <w:rPr>
          <w:rFonts w:hint="eastAsia" w:ascii="Times New Roman" w:hAnsi="Times New Roman" w:eastAsia="仿宋_GB2312" w:cs="Times New Roman"/>
          <w:color w:val="000000"/>
          <w:sz w:val="32"/>
          <w:szCs w:val="32"/>
          <w:highlight w:val="none"/>
          <w:shd w:val="clear" w:color="auto" w:fill="FFFFFF"/>
          <w:lang w:eastAsia="zh-CN" w:bidi="ar-SA"/>
        </w:rPr>
        <w:t>名评估专家共同确认。经市医保经办机构复核后，形成评估结论。</w:t>
      </w:r>
    </w:p>
    <w:p w14:paraId="75020F7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rightChars="0" w:firstLine="643" w:firstLineChars="200"/>
        <w:jc w:val="both"/>
        <w:textAlignment w:val="auto"/>
        <w:rPr>
          <w:rFonts w:hint="eastAsia" w:ascii="Times New Roman" w:hAnsi="Times New Roman" w:eastAsia="仿宋_GB2312" w:cs="Times New Roman"/>
          <w:color w:val="000000"/>
          <w:sz w:val="32"/>
          <w:szCs w:val="32"/>
          <w:highlight w:val="none"/>
          <w:shd w:val="clear" w:color="auto" w:fill="FFFFFF"/>
          <w:lang w:val="en-US" w:eastAsia="zh-CN" w:bidi="ar-SA"/>
        </w:rPr>
      </w:pPr>
      <w:r>
        <w:rPr>
          <w:rFonts w:hint="eastAsia" w:ascii="Times New Roman" w:hAnsi="Times New Roman" w:eastAsia="仿宋_GB2312" w:cs="Times New Roman"/>
          <w:b/>
          <w:bCs/>
          <w:kern w:val="2"/>
          <w:sz w:val="32"/>
          <w:szCs w:val="32"/>
          <w:highlight w:val="none"/>
          <w:lang w:val="en-US" w:eastAsia="zh-CN" w:bidi="ar-SA"/>
        </w:rPr>
        <w:t>第二十三条</w:t>
      </w:r>
      <w:r>
        <w:rPr>
          <w:rFonts w:hint="eastAsia"/>
          <w:highlight w:val="none"/>
          <w:lang w:val="en-US" w:eastAsia="zh-CN"/>
        </w:rPr>
        <w:t xml:space="preserve"> </w:t>
      </w:r>
      <w:r>
        <w:rPr>
          <w:rFonts w:hint="eastAsia" w:ascii="Times New Roman" w:hAnsi="Times New Roman" w:eastAsia="仿宋_GB2312" w:cs="Times New Roman"/>
          <w:color w:val="000000"/>
          <w:sz w:val="32"/>
          <w:szCs w:val="32"/>
          <w:highlight w:val="none"/>
          <w:shd w:val="clear" w:color="auto" w:fill="FFFFFF"/>
          <w:lang w:val="en-US" w:eastAsia="zh-CN" w:bidi="ar-SA"/>
        </w:rPr>
        <w:t>评估结论应由定点评估机构和医保经办机构在一定范围内公示，公示期为7天，接受社会监督。</w:t>
      </w:r>
      <w:r>
        <w:rPr>
          <w:rFonts w:hint="default" w:ascii="Times New Roman" w:hAnsi="Times New Roman" w:eastAsia="仿宋_GB2312" w:cs="Times New Roman"/>
          <w:color w:val="000000"/>
          <w:sz w:val="32"/>
          <w:szCs w:val="32"/>
          <w:highlight w:val="none"/>
          <w:shd w:val="clear" w:color="auto" w:fill="FFFFFF"/>
          <w:lang w:bidi="ar-SA"/>
        </w:rPr>
        <w:t>经公示无异议的</w:t>
      </w:r>
      <w:r>
        <w:rPr>
          <w:rFonts w:hint="eastAsia" w:ascii="Times New Roman" w:hAnsi="Times New Roman" w:eastAsia="仿宋_GB2312" w:cs="Times New Roman"/>
          <w:color w:val="000000"/>
          <w:sz w:val="32"/>
          <w:szCs w:val="32"/>
          <w:highlight w:val="none"/>
          <w:shd w:val="clear" w:color="auto" w:fill="FFFFFF"/>
          <w:lang w:eastAsia="zh-CN" w:bidi="ar-SA"/>
        </w:rPr>
        <w:t>，</w:t>
      </w:r>
      <w:r>
        <w:rPr>
          <w:rFonts w:hint="eastAsia" w:ascii="Times New Roman" w:hAnsi="Times New Roman" w:eastAsia="仿宋_GB2312" w:cs="Times New Roman"/>
          <w:color w:val="000000"/>
          <w:sz w:val="32"/>
          <w:szCs w:val="32"/>
          <w:highlight w:val="none"/>
          <w:shd w:val="clear" w:color="auto" w:fill="FFFFFF"/>
          <w:lang w:val="en-US" w:eastAsia="zh-CN" w:bidi="ar-SA"/>
        </w:rPr>
        <w:t>由市医保经办机构</w:t>
      </w:r>
      <w:r>
        <w:rPr>
          <w:rFonts w:hint="default" w:ascii="Times New Roman" w:hAnsi="Times New Roman" w:eastAsia="仿宋_GB2312" w:cs="Times New Roman"/>
          <w:color w:val="000000"/>
          <w:sz w:val="32"/>
          <w:szCs w:val="32"/>
          <w:highlight w:val="none"/>
          <w:shd w:val="clear" w:color="auto" w:fill="FFFFFF"/>
          <w:lang w:val="en-US" w:eastAsia="zh-CN" w:bidi="ar-SA"/>
        </w:rPr>
        <w:t>出具</w:t>
      </w:r>
      <w:r>
        <w:rPr>
          <w:rFonts w:hint="eastAsia" w:ascii="Times New Roman" w:hAnsi="Times New Roman" w:eastAsia="仿宋_GB2312" w:cs="Times New Roman"/>
          <w:color w:val="000000"/>
          <w:sz w:val="32"/>
          <w:szCs w:val="32"/>
          <w:highlight w:val="none"/>
          <w:shd w:val="clear" w:color="auto" w:fill="FFFFFF"/>
          <w:lang w:val="en-US" w:eastAsia="zh-CN" w:bidi="ar-SA"/>
        </w:rPr>
        <w:t>《长期护理失能等级评估结论书》（以下简称“评估结论书”）</w:t>
      </w:r>
      <w:r>
        <w:rPr>
          <w:rFonts w:hint="default" w:ascii="Times New Roman" w:hAnsi="Times New Roman" w:eastAsia="仿宋_GB2312" w:cs="Times New Roman"/>
          <w:color w:val="000000"/>
          <w:sz w:val="32"/>
          <w:szCs w:val="32"/>
          <w:highlight w:val="none"/>
          <w:shd w:val="clear" w:color="auto" w:fill="FFFFFF"/>
          <w:lang w:val="en-US" w:eastAsia="zh-CN" w:bidi="ar-SA"/>
        </w:rPr>
        <w:t>。</w:t>
      </w:r>
      <w:r>
        <w:rPr>
          <w:rFonts w:hint="eastAsia" w:ascii="Times New Roman" w:hAnsi="Times New Roman" w:eastAsia="仿宋_GB2312" w:cs="Times New Roman"/>
          <w:color w:val="000000"/>
          <w:sz w:val="32"/>
          <w:szCs w:val="32"/>
          <w:highlight w:val="none"/>
          <w:shd w:val="clear" w:color="auto" w:fill="FFFFFF"/>
          <w:lang w:val="en-US" w:eastAsia="zh-CN" w:bidi="ar-SA"/>
        </w:rPr>
        <w:t>定点评估机构向评估对象或其监护人、委托代理人送达评估结论书，原则上自申请受理之日起30个工作日内送达。</w:t>
      </w:r>
    </w:p>
    <w:p w14:paraId="23E21CC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rightChars="0" w:firstLine="643"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b/>
          <w:bCs/>
          <w:kern w:val="2"/>
          <w:sz w:val="32"/>
          <w:szCs w:val="32"/>
          <w:highlight w:val="none"/>
          <w:lang w:val="en-US" w:eastAsia="zh-CN" w:bidi="ar-SA"/>
        </w:rPr>
        <w:t>第二十四条</w:t>
      </w:r>
      <w:r>
        <w:rPr>
          <w:rFonts w:hint="eastAsia" w:ascii="Times New Roman" w:hAnsi="Times New Roman" w:eastAsia="仿宋_GB2312" w:cs="Times New Roman"/>
          <w:kern w:val="2"/>
          <w:sz w:val="32"/>
          <w:szCs w:val="32"/>
          <w:highlight w:val="none"/>
          <w:lang w:val="en-US" w:eastAsia="zh-CN" w:bidi="ar-SA"/>
        </w:rPr>
        <w:t xml:space="preserve"> </w:t>
      </w:r>
      <w:r>
        <w:rPr>
          <w:rFonts w:hint="eastAsia" w:ascii="Times New Roman" w:hAnsi="Times New Roman" w:eastAsia="仿宋_GB2312" w:cs="Times New Roman"/>
          <w:color w:val="000000"/>
          <w:sz w:val="32"/>
          <w:szCs w:val="32"/>
          <w:highlight w:val="none"/>
          <w:shd w:val="clear" w:color="auto" w:fill="FFFFFF"/>
          <w:lang w:eastAsia="zh-CN" w:bidi="ar-SA"/>
        </w:rPr>
        <w:t>评估对象或其监护人、委托代理人</w:t>
      </w:r>
      <w:r>
        <w:rPr>
          <w:rFonts w:hint="eastAsia" w:ascii="Times New Roman" w:hAnsi="Times New Roman" w:eastAsia="仿宋_GB2312" w:cs="Times New Roman"/>
          <w:kern w:val="2"/>
          <w:sz w:val="32"/>
          <w:szCs w:val="32"/>
          <w:highlight w:val="none"/>
          <w:lang w:val="en-US" w:eastAsia="zh-CN" w:bidi="ar-SA"/>
        </w:rPr>
        <w:t>对失能等级评估结论有异议的，可在收到评估结论书之日起10个工作日内向所属医保经办机构提出</w:t>
      </w:r>
      <w:r>
        <w:rPr>
          <w:rFonts w:hint="eastAsia" w:ascii="Times New Roman" w:hAnsi="Times New Roman" w:eastAsia="仿宋_GB2312" w:cs="Times New Roman"/>
          <w:color w:val="000000"/>
          <w:sz w:val="32"/>
          <w:szCs w:val="32"/>
          <w:highlight w:val="none"/>
          <w:shd w:val="clear" w:color="auto" w:fill="FFFFFF"/>
          <w:lang w:val="en-US" w:eastAsia="zh-CN" w:bidi="ar-SA"/>
        </w:rPr>
        <w:t>争议复评申请，并提交复评补充材料。</w:t>
      </w:r>
      <w:r>
        <w:rPr>
          <w:rFonts w:hint="eastAsia" w:ascii="Times New Roman" w:hAnsi="Times New Roman" w:eastAsia="仿宋_GB2312" w:cs="Times New Roman"/>
          <w:kern w:val="2"/>
          <w:sz w:val="32"/>
          <w:szCs w:val="32"/>
          <w:highlight w:val="none"/>
          <w:lang w:val="en-US" w:eastAsia="zh-CN" w:bidi="ar-SA"/>
        </w:rPr>
        <w:t>第三人对公示的评估结论有异议的，可在公示期内向市医保经办机构实名反映并提供佐证材料，反映情况属实的，由市医保经办机构组织争议复评。复评工作原则上由不少于2名评估专家参加，参与初次评估的评估机构和评估人员应当回避，复评结论为最终评估结论。</w:t>
      </w:r>
    </w:p>
    <w:p w14:paraId="0AD4512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rightChars="0" w:firstLine="643"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b/>
          <w:bCs/>
          <w:kern w:val="2"/>
          <w:sz w:val="32"/>
          <w:szCs w:val="32"/>
          <w:highlight w:val="none"/>
          <w:lang w:val="en-US" w:eastAsia="zh-CN" w:bidi="ar-SA"/>
        </w:rPr>
        <w:t>第二十五条</w:t>
      </w:r>
      <w:r>
        <w:rPr>
          <w:rFonts w:hint="eastAsia" w:ascii="Times New Roman" w:hAnsi="Times New Roman" w:eastAsia="仿宋_GB2312" w:cs="Times New Roman"/>
          <w:kern w:val="2"/>
          <w:sz w:val="32"/>
          <w:szCs w:val="32"/>
          <w:highlight w:val="none"/>
          <w:lang w:val="en-US" w:eastAsia="zh-CN" w:bidi="ar-SA"/>
        </w:rPr>
        <w:t xml:space="preserve"> </w:t>
      </w:r>
      <w:r>
        <w:rPr>
          <w:rFonts w:hint="default" w:ascii="Times New Roman" w:hAnsi="Times New Roman" w:eastAsia="仿宋_GB2312" w:cs="Times New Roman"/>
          <w:kern w:val="2"/>
          <w:sz w:val="32"/>
          <w:szCs w:val="32"/>
          <w:highlight w:val="none"/>
          <w:lang w:val="en-US" w:eastAsia="zh-CN" w:bidi="ar-SA"/>
        </w:rPr>
        <w:t>参保人员失能状态发生变化、与原评估结论不匹配，且原评估结论出具满6个月的，可向医保经办机构申请状态变更评估。市、县（区）医保行政部门、经办机构在抽查监督中，发现参保人员当前失能状态发生变化、可能影响待遇享受的，应当组织抽查复评。</w:t>
      </w:r>
    </w:p>
    <w:p w14:paraId="6B5A855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rightChars="0" w:firstLine="643" w:firstLineChars="200"/>
        <w:jc w:val="both"/>
        <w:textAlignment w:val="auto"/>
        <w:rPr>
          <w:rFonts w:hint="eastAsia" w:ascii="Times New Roman" w:hAnsi="Times New Roman" w:eastAsia="仿宋_GB2312" w:cs="Times New Roman"/>
          <w:strike w:val="0"/>
          <w:dstrike w:val="0"/>
          <w:kern w:val="2"/>
          <w:sz w:val="32"/>
          <w:szCs w:val="32"/>
          <w:highlight w:val="none"/>
          <w:lang w:val="en-US" w:eastAsia="zh-CN" w:bidi="ar-SA"/>
        </w:rPr>
      </w:pPr>
      <w:r>
        <w:rPr>
          <w:rFonts w:hint="eastAsia" w:ascii="Times New Roman" w:hAnsi="Times New Roman" w:eastAsia="仿宋_GB2312" w:cs="Times New Roman"/>
          <w:b/>
          <w:bCs/>
          <w:kern w:val="2"/>
          <w:sz w:val="32"/>
          <w:szCs w:val="32"/>
          <w:highlight w:val="none"/>
          <w:lang w:val="en-US" w:eastAsia="zh-CN" w:bidi="ar-SA"/>
        </w:rPr>
        <w:t xml:space="preserve">第二十六条 </w:t>
      </w:r>
      <w:r>
        <w:rPr>
          <w:rFonts w:hint="default" w:ascii="Times New Roman" w:hAnsi="Times New Roman" w:eastAsia="仿宋_GB2312" w:cs="Times New Roman"/>
          <w:kern w:val="2"/>
          <w:sz w:val="32"/>
          <w:szCs w:val="32"/>
          <w:highlight w:val="none"/>
          <w:lang w:val="en-US" w:eastAsia="zh-CN" w:bidi="ar-SA"/>
        </w:rPr>
        <w:t>重度失能等级评估结论有效期为2年。评估有效期届满前，市医保经办机构应当组织对享受长期护理保险待遇的参保人员开展期末评估。</w:t>
      </w:r>
    </w:p>
    <w:p w14:paraId="07896A3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rightChars="0" w:firstLine="643"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b/>
          <w:bCs/>
          <w:kern w:val="2"/>
          <w:sz w:val="32"/>
          <w:szCs w:val="32"/>
          <w:highlight w:val="none"/>
          <w:lang w:val="en-US" w:eastAsia="zh-CN" w:bidi="ar-SA"/>
        </w:rPr>
        <w:t>第二十七条</w:t>
      </w:r>
      <w:r>
        <w:rPr>
          <w:rFonts w:hint="eastAsia" w:ascii="Times New Roman" w:hAnsi="Times New Roman" w:eastAsia="仿宋_GB2312" w:cs="Times New Roman"/>
          <w:kern w:val="2"/>
          <w:sz w:val="32"/>
          <w:szCs w:val="32"/>
          <w:highlight w:val="none"/>
          <w:lang w:val="en-US" w:eastAsia="zh-CN" w:bidi="ar-SA"/>
        </w:rPr>
        <w:t xml:space="preserve"> 评估费用标准为每例200元，建立初次评估、争议复评、状态变更评估、抽查复评、期末评估分类分担机制。</w:t>
      </w:r>
    </w:p>
    <w:p w14:paraId="2DDD7335">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（一）初次评估。符合长护险待遇享受条件的初次评估费由长护险基金承担，不符合待遇享受条件的由申请人承担。</w:t>
      </w:r>
    </w:p>
    <w:p w14:paraId="41EBCB8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rightChars="0" w:firstLine="640"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（二）争议复评。复评结论与原评估结论不一致并符合待遇享受政策规定的，评估费由长护险基金承担；复评结论与原评估结论一致，或与原评估结论不一致但不符合待遇享受政策规定的，评估费由申请人承担。</w:t>
      </w:r>
    </w:p>
    <w:p w14:paraId="7B00CFCC">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三）状态变更评估。状态变更评估结论与原评估结论不一致并符合待遇享受政策规定的，评估费由长护险基金承担；评估结论与原评估结论一致，或与原评估结论不一致但不符合待遇享受政策规定的，评估费由申请人承担。</w:t>
      </w:r>
    </w:p>
    <w:p w14:paraId="5D169470">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（四）抽查复评。抽查复评结论确认参保人失能状态发生变化的，初次评估费由评估机构退还至长护险基金。</w:t>
      </w:r>
    </w:p>
    <w:p w14:paraId="1BB1D463">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（五）期末评估。期末评估费由长护险基金承担。</w:t>
      </w:r>
    </w:p>
    <w:p w14:paraId="2952129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right="0" w:rightChars="0"/>
        <w:jc w:val="center"/>
        <w:textAlignment w:val="auto"/>
        <w:rPr>
          <w:rFonts w:hint="eastAsia" w:ascii="Times New Roman" w:hAnsi="Times New Roman" w:eastAsia="仿宋_GB2312" w:cs="Times New Roman"/>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第四章 待遇享受</w:t>
      </w:r>
    </w:p>
    <w:p w14:paraId="203A96D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rightChars="0" w:firstLine="643"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b/>
          <w:bCs/>
          <w:kern w:val="2"/>
          <w:sz w:val="32"/>
          <w:szCs w:val="32"/>
          <w:highlight w:val="none"/>
          <w:lang w:val="en-US" w:eastAsia="zh-CN" w:bidi="ar-SA"/>
        </w:rPr>
        <w:t>第二十八条</w:t>
      </w:r>
      <w:r>
        <w:rPr>
          <w:rFonts w:hint="eastAsia" w:ascii="Times New Roman" w:hAnsi="Times New Roman" w:eastAsia="仿宋_GB2312" w:cs="Times New Roman"/>
          <w:kern w:val="2"/>
          <w:sz w:val="32"/>
          <w:szCs w:val="32"/>
          <w:highlight w:val="none"/>
          <w:lang w:val="en-US" w:eastAsia="zh-CN" w:bidi="ar-SA"/>
        </w:rPr>
        <w:t xml:space="preserve"> 经失能等级评估为重度失能的参保人，自出具评估结论书次月起</w:t>
      </w:r>
      <w:r>
        <w:rPr>
          <w:rFonts w:hint="default" w:ascii="Times New Roman" w:hAnsi="Times New Roman" w:eastAsia="仿宋_GB2312" w:cs="Times New Roman"/>
          <w:kern w:val="2"/>
          <w:sz w:val="32"/>
          <w:szCs w:val="32"/>
          <w:highlight w:val="none"/>
          <w:lang w:val="en-US" w:eastAsia="zh-CN" w:bidi="ar-SA"/>
        </w:rPr>
        <w:t>，可在</w:t>
      </w:r>
      <w:r>
        <w:rPr>
          <w:rFonts w:hint="eastAsia" w:ascii="Times New Roman" w:hAnsi="Times New Roman" w:eastAsia="仿宋_GB2312" w:cs="Times New Roman"/>
          <w:kern w:val="2"/>
          <w:sz w:val="32"/>
          <w:szCs w:val="32"/>
          <w:highlight w:val="none"/>
          <w:lang w:val="en-US" w:eastAsia="zh-CN" w:bidi="ar-SA"/>
        </w:rPr>
        <w:t>本市</w:t>
      </w:r>
      <w:r>
        <w:rPr>
          <w:rFonts w:hint="default" w:ascii="Times New Roman" w:hAnsi="Times New Roman" w:eastAsia="仿宋_GB2312" w:cs="Times New Roman"/>
          <w:kern w:val="2"/>
          <w:sz w:val="32"/>
          <w:szCs w:val="32"/>
          <w:highlight w:val="none"/>
          <w:lang w:val="en-US" w:eastAsia="zh-CN" w:bidi="ar-SA"/>
        </w:rPr>
        <w:t>行政区域内享受长护险待遇</w:t>
      </w:r>
      <w:r>
        <w:rPr>
          <w:rFonts w:hint="eastAsia" w:ascii="Times New Roman" w:hAnsi="Times New Roman" w:eastAsia="仿宋_GB2312" w:cs="Times New Roman"/>
          <w:kern w:val="2"/>
          <w:sz w:val="32"/>
          <w:szCs w:val="32"/>
          <w:highlight w:val="none"/>
          <w:lang w:val="en-US" w:eastAsia="zh-CN" w:bidi="ar-SA"/>
        </w:rPr>
        <w:t>。</w:t>
      </w:r>
    </w:p>
    <w:p w14:paraId="6573936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rightChars="0" w:firstLine="643"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b/>
          <w:bCs/>
          <w:kern w:val="2"/>
          <w:sz w:val="32"/>
          <w:szCs w:val="32"/>
          <w:highlight w:val="none"/>
          <w:lang w:val="en-US" w:eastAsia="zh-CN" w:bidi="ar-SA"/>
        </w:rPr>
        <w:t>第二十九条</w:t>
      </w:r>
      <w:r>
        <w:rPr>
          <w:rFonts w:hint="eastAsia" w:ascii="Times New Roman" w:hAnsi="Times New Roman" w:eastAsia="仿宋_GB2312" w:cs="Times New Roman"/>
          <w:kern w:val="2"/>
          <w:sz w:val="32"/>
          <w:szCs w:val="32"/>
          <w:highlight w:val="none"/>
          <w:lang w:val="en-US" w:eastAsia="zh-CN" w:bidi="ar-SA"/>
        </w:rPr>
        <w:t xml:space="preserve"> </w:t>
      </w:r>
      <w:r>
        <w:rPr>
          <w:rFonts w:hint="default" w:ascii="Times New Roman" w:hAnsi="Times New Roman" w:eastAsia="仿宋_GB2312" w:cs="Times New Roman"/>
          <w:kern w:val="2"/>
          <w:sz w:val="32"/>
          <w:szCs w:val="32"/>
          <w:highlight w:val="none"/>
          <w:lang w:val="en-US" w:eastAsia="zh-CN" w:bidi="ar-SA"/>
        </w:rPr>
        <w:t>长护险护理服务方式</w:t>
      </w:r>
      <w:r>
        <w:rPr>
          <w:rFonts w:hint="eastAsia" w:ascii="Times New Roman" w:hAnsi="Times New Roman" w:eastAsia="仿宋_GB2312" w:cs="Times New Roman"/>
          <w:kern w:val="2"/>
          <w:sz w:val="32"/>
          <w:szCs w:val="32"/>
          <w:highlight w:val="none"/>
          <w:lang w:val="en-US" w:eastAsia="zh-CN" w:bidi="ar-SA"/>
        </w:rPr>
        <w:t>分为</w:t>
      </w:r>
      <w:r>
        <w:rPr>
          <w:rFonts w:hint="default" w:ascii="Times New Roman" w:hAnsi="Times New Roman" w:eastAsia="仿宋_GB2312" w:cs="Times New Roman"/>
          <w:kern w:val="2"/>
          <w:sz w:val="32"/>
          <w:szCs w:val="32"/>
          <w:highlight w:val="none"/>
          <w:lang w:val="en-US" w:eastAsia="zh-CN" w:bidi="ar-SA"/>
        </w:rPr>
        <w:t>机构护理、社区护理</w:t>
      </w:r>
      <w:r>
        <w:rPr>
          <w:rFonts w:hint="eastAsia" w:ascii="Times New Roman" w:hAnsi="Times New Roman" w:eastAsia="仿宋_GB2312" w:cs="Times New Roman"/>
          <w:kern w:val="2"/>
          <w:sz w:val="32"/>
          <w:szCs w:val="32"/>
          <w:highlight w:val="none"/>
          <w:lang w:val="en-US" w:eastAsia="zh-CN" w:bidi="ar-SA"/>
        </w:rPr>
        <w:t>和</w:t>
      </w:r>
      <w:r>
        <w:rPr>
          <w:rFonts w:hint="default" w:ascii="Times New Roman" w:hAnsi="Times New Roman" w:eastAsia="仿宋_GB2312" w:cs="Times New Roman"/>
          <w:kern w:val="2"/>
          <w:sz w:val="32"/>
          <w:szCs w:val="32"/>
          <w:highlight w:val="none"/>
          <w:lang w:val="en-US" w:eastAsia="zh-CN" w:bidi="ar-SA"/>
        </w:rPr>
        <w:t>居家</w:t>
      </w:r>
      <w:r>
        <w:rPr>
          <w:rFonts w:hint="eastAsia" w:ascii="Times New Roman" w:hAnsi="Times New Roman" w:eastAsia="仿宋_GB2312" w:cs="Times New Roman"/>
          <w:kern w:val="2"/>
          <w:sz w:val="32"/>
          <w:szCs w:val="32"/>
          <w:highlight w:val="none"/>
          <w:lang w:val="en-US" w:eastAsia="zh-CN" w:bidi="ar-SA"/>
        </w:rPr>
        <w:t>护理</w:t>
      </w:r>
      <w:r>
        <w:rPr>
          <w:rFonts w:hint="default" w:ascii="Times New Roman" w:hAnsi="Times New Roman" w:eastAsia="仿宋_GB2312" w:cs="Times New Roman"/>
          <w:kern w:val="2"/>
          <w:sz w:val="32"/>
          <w:szCs w:val="32"/>
          <w:highlight w:val="none"/>
          <w:lang w:val="en-US" w:eastAsia="zh-CN" w:bidi="ar-SA"/>
        </w:rPr>
        <w:t>。</w:t>
      </w:r>
    </w:p>
    <w:p w14:paraId="48BD7CB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rightChars="0" w:firstLine="640"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（一）机构护理。</w:t>
      </w:r>
      <w:r>
        <w:rPr>
          <w:rFonts w:hint="default" w:ascii="Times New Roman" w:hAnsi="Times New Roman" w:eastAsia="仿宋_GB2312" w:cs="Times New Roman"/>
          <w:sz w:val="32"/>
          <w:szCs w:val="32"/>
          <w:highlight w:val="none"/>
          <w:lang w:bidi="ar-SA"/>
        </w:rPr>
        <w:t>是指</w:t>
      </w:r>
      <w:r>
        <w:rPr>
          <w:rFonts w:hint="eastAsia" w:ascii="Times New Roman" w:hAnsi="Times New Roman" w:eastAsia="仿宋_GB2312" w:cs="Times New Roman"/>
          <w:sz w:val="32"/>
          <w:szCs w:val="32"/>
          <w:highlight w:val="none"/>
          <w:lang w:eastAsia="zh-CN" w:bidi="ar-SA"/>
        </w:rPr>
        <w:t>定点</w:t>
      </w:r>
      <w:r>
        <w:rPr>
          <w:rFonts w:hint="default" w:ascii="Times New Roman" w:hAnsi="Times New Roman" w:eastAsia="仿宋_GB2312" w:cs="Times New Roman"/>
          <w:sz w:val="32"/>
          <w:szCs w:val="32"/>
          <w:highlight w:val="none"/>
          <w:lang w:bidi="ar-SA"/>
        </w:rPr>
        <w:t>长护服务机构在所开设的机构内为参保人提供全日的长期护理服务。</w:t>
      </w:r>
    </w:p>
    <w:p w14:paraId="636129B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rightChars="0" w:firstLine="640"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（二）社区护理。</w:t>
      </w:r>
      <w:r>
        <w:rPr>
          <w:rFonts w:hint="default" w:ascii="Times New Roman" w:hAnsi="Times New Roman" w:eastAsia="仿宋_GB2312" w:cs="Times New Roman"/>
          <w:sz w:val="32"/>
          <w:szCs w:val="32"/>
          <w:highlight w:val="none"/>
          <w:lang w:bidi="ar-SA"/>
        </w:rPr>
        <w:t>是指</w:t>
      </w:r>
      <w:r>
        <w:rPr>
          <w:rFonts w:hint="eastAsia" w:ascii="Times New Roman" w:hAnsi="Times New Roman" w:eastAsia="仿宋_GB2312" w:cs="Times New Roman"/>
          <w:sz w:val="32"/>
          <w:szCs w:val="32"/>
          <w:highlight w:val="none"/>
          <w:lang w:eastAsia="zh-CN" w:bidi="ar-SA"/>
        </w:rPr>
        <w:t>定点</w:t>
      </w:r>
      <w:r>
        <w:rPr>
          <w:rFonts w:hint="default" w:ascii="Times New Roman" w:hAnsi="Times New Roman" w:eastAsia="仿宋_GB2312" w:cs="Times New Roman"/>
          <w:sz w:val="32"/>
          <w:szCs w:val="32"/>
          <w:highlight w:val="none"/>
          <w:lang w:bidi="ar-SA"/>
        </w:rPr>
        <w:t>长护服务机构以社区为依托为参保人提供就近就便、非全日的长期护理服务。</w:t>
      </w:r>
    </w:p>
    <w:p w14:paraId="7E2104C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rightChars="0" w:firstLine="640"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（三）居家护理。</w:t>
      </w:r>
      <w:r>
        <w:rPr>
          <w:rFonts w:hint="default" w:ascii="Times New Roman" w:hAnsi="Times New Roman" w:eastAsia="仿宋_GB2312" w:cs="Times New Roman"/>
          <w:sz w:val="32"/>
          <w:szCs w:val="32"/>
          <w:highlight w:val="none"/>
          <w:lang w:bidi="ar-SA"/>
        </w:rPr>
        <w:t>是指</w:t>
      </w:r>
      <w:r>
        <w:rPr>
          <w:rFonts w:hint="eastAsia" w:ascii="Times New Roman" w:hAnsi="Times New Roman" w:eastAsia="仿宋_GB2312" w:cs="Times New Roman"/>
          <w:sz w:val="32"/>
          <w:szCs w:val="32"/>
          <w:highlight w:val="none"/>
          <w:lang w:eastAsia="zh-CN" w:bidi="ar-SA"/>
        </w:rPr>
        <w:t>定点</w:t>
      </w:r>
      <w:r>
        <w:rPr>
          <w:rFonts w:hint="default" w:ascii="Times New Roman" w:hAnsi="Times New Roman" w:eastAsia="仿宋_GB2312" w:cs="Times New Roman"/>
          <w:sz w:val="32"/>
          <w:szCs w:val="32"/>
          <w:highlight w:val="none"/>
          <w:lang w:bidi="ar-SA"/>
        </w:rPr>
        <w:t>长护服务机构在参保人所居住的家庭住所内为参保人提供长期护理服务。</w:t>
      </w:r>
    </w:p>
    <w:p w14:paraId="35B22FF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rightChars="0" w:firstLine="643"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b/>
          <w:bCs/>
          <w:kern w:val="2"/>
          <w:sz w:val="32"/>
          <w:szCs w:val="32"/>
          <w:highlight w:val="none"/>
          <w:lang w:val="en-US" w:eastAsia="zh-CN" w:bidi="ar-SA"/>
        </w:rPr>
        <w:t>第三十条</w:t>
      </w:r>
      <w:r>
        <w:rPr>
          <w:rFonts w:hint="eastAsia" w:ascii="Times New Roman" w:hAnsi="Times New Roman" w:eastAsia="仿宋_GB2312" w:cs="Times New Roman"/>
          <w:kern w:val="2"/>
          <w:sz w:val="32"/>
          <w:szCs w:val="32"/>
          <w:highlight w:val="none"/>
          <w:lang w:val="en-US" w:eastAsia="zh-CN" w:bidi="ar-SA"/>
        </w:rPr>
        <w:t xml:space="preserve"> 选定服务方式后，</w:t>
      </w:r>
      <w:r>
        <w:rPr>
          <w:rFonts w:hint="default" w:ascii="Times New Roman" w:hAnsi="Times New Roman" w:eastAsia="仿宋_GB2312" w:cs="Times New Roman"/>
          <w:sz w:val="32"/>
          <w:szCs w:val="32"/>
          <w:highlight w:val="none"/>
          <w:lang w:bidi="ar-SA"/>
        </w:rPr>
        <w:t>参保人或其监护人、委托代理人</w:t>
      </w:r>
      <w:r>
        <w:rPr>
          <w:rFonts w:hint="eastAsia" w:ascii="Times New Roman" w:hAnsi="Times New Roman" w:eastAsia="仿宋_GB2312" w:cs="Times New Roman"/>
          <w:sz w:val="32"/>
          <w:szCs w:val="32"/>
          <w:highlight w:val="none"/>
          <w:lang w:eastAsia="zh-CN" w:bidi="ar-SA"/>
        </w:rPr>
        <w:t>须和</w:t>
      </w:r>
      <w:r>
        <w:rPr>
          <w:rFonts w:hint="default" w:ascii="Times New Roman" w:hAnsi="Times New Roman" w:eastAsia="仿宋_GB2312" w:cs="Times New Roman"/>
          <w:sz w:val="32"/>
          <w:szCs w:val="32"/>
          <w:highlight w:val="none"/>
          <w:lang w:bidi="ar-SA"/>
        </w:rPr>
        <w:t>定点长护服务机构沟通协调</w:t>
      </w:r>
      <w:r>
        <w:rPr>
          <w:rFonts w:hint="eastAsia" w:ascii="Times New Roman" w:hAnsi="Times New Roman" w:eastAsia="仿宋_GB2312" w:cs="Times New Roman"/>
          <w:sz w:val="32"/>
          <w:szCs w:val="32"/>
          <w:highlight w:val="none"/>
          <w:lang w:eastAsia="zh-CN" w:bidi="ar-SA"/>
        </w:rPr>
        <w:t>，并</w:t>
      </w:r>
      <w:r>
        <w:rPr>
          <w:rFonts w:hint="eastAsia" w:ascii="Times New Roman" w:hAnsi="Times New Roman" w:eastAsia="仿宋_GB2312" w:cs="Times New Roman"/>
          <w:kern w:val="2"/>
          <w:sz w:val="32"/>
          <w:szCs w:val="32"/>
          <w:highlight w:val="none"/>
          <w:lang w:val="en-US" w:eastAsia="zh-CN" w:bidi="ar-SA"/>
        </w:rPr>
        <w:t>按照国家统一的长护险服务项目目录</w:t>
      </w:r>
      <w:r>
        <w:rPr>
          <w:rFonts w:hint="default" w:ascii="Times New Roman" w:hAnsi="Times New Roman" w:eastAsia="仿宋_GB2312" w:cs="Times New Roman"/>
          <w:sz w:val="32"/>
          <w:szCs w:val="32"/>
          <w:highlight w:val="none"/>
          <w:lang w:bidi="ar-SA"/>
        </w:rPr>
        <w:t>形成护理服务计划，</w:t>
      </w:r>
      <w:r>
        <w:rPr>
          <w:rFonts w:hint="default" w:ascii="Times New Roman" w:hAnsi="Times New Roman" w:eastAsia="仿宋_GB2312" w:cs="Times New Roman"/>
          <w:sz w:val="32"/>
          <w:szCs w:val="32"/>
          <w:highlight w:val="none"/>
          <w:lang w:eastAsia="zh-CN" w:bidi="ar-SA"/>
        </w:rPr>
        <w:t>签订护理服务协议</w:t>
      </w:r>
      <w:r>
        <w:rPr>
          <w:rFonts w:hint="eastAsia" w:ascii="Times New Roman" w:hAnsi="Times New Roman" w:eastAsia="仿宋_GB2312" w:cs="Times New Roman"/>
          <w:sz w:val="32"/>
          <w:szCs w:val="32"/>
          <w:highlight w:val="none"/>
          <w:lang w:eastAsia="zh-CN" w:bidi="ar-SA"/>
        </w:rPr>
        <w:t>，</w:t>
      </w:r>
      <w:r>
        <w:rPr>
          <w:rFonts w:hint="default" w:ascii="Times New Roman" w:hAnsi="Times New Roman" w:eastAsia="仿宋_GB2312" w:cs="Times New Roman"/>
          <w:kern w:val="2"/>
          <w:sz w:val="32"/>
          <w:szCs w:val="32"/>
          <w:highlight w:val="none"/>
          <w:lang w:val="en-US" w:eastAsia="zh-CN" w:bidi="ar-SA"/>
        </w:rPr>
        <w:t>明确享受待遇时间、服务项目、服务内容、服务频次及双方的权利与义务、责任免除等</w:t>
      </w:r>
      <w:r>
        <w:rPr>
          <w:rFonts w:hint="eastAsia" w:ascii="Times New Roman" w:hAnsi="Times New Roman" w:eastAsia="仿宋_GB2312" w:cs="Times New Roman"/>
          <w:kern w:val="2"/>
          <w:sz w:val="32"/>
          <w:szCs w:val="32"/>
          <w:highlight w:val="none"/>
          <w:lang w:val="en-US" w:eastAsia="zh-CN" w:bidi="ar-SA"/>
        </w:rPr>
        <w:t>，由</w:t>
      </w:r>
      <w:r>
        <w:rPr>
          <w:rFonts w:hint="default" w:ascii="Times New Roman" w:hAnsi="Times New Roman" w:eastAsia="仿宋_GB2312" w:cs="Times New Roman"/>
          <w:kern w:val="2"/>
          <w:sz w:val="32"/>
          <w:szCs w:val="32"/>
          <w:highlight w:val="none"/>
          <w:lang w:val="en-US" w:eastAsia="zh-CN" w:bidi="ar-SA"/>
        </w:rPr>
        <w:t>定点长护服务机构</w:t>
      </w:r>
      <w:r>
        <w:rPr>
          <w:rFonts w:hint="eastAsia" w:ascii="Times New Roman" w:hAnsi="Times New Roman" w:eastAsia="仿宋_GB2312" w:cs="Times New Roman"/>
          <w:kern w:val="2"/>
          <w:sz w:val="32"/>
          <w:szCs w:val="32"/>
          <w:highlight w:val="none"/>
          <w:lang w:val="en-US" w:eastAsia="zh-CN" w:bidi="ar-SA"/>
        </w:rPr>
        <w:t>向所属医保经办机构备案通过后按</w:t>
      </w:r>
      <w:r>
        <w:rPr>
          <w:rFonts w:hint="default" w:ascii="Times New Roman" w:hAnsi="Times New Roman" w:eastAsia="仿宋_GB2312" w:cs="Times New Roman"/>
          <w:kern w:val="2"/>
          <w:sz w:val="32"/>
          <w:szCs w:val="32"/>
          <w:highlight w:val="none"/>
          <w:lang w:val="en-US" w:eastAsia="zh-CN" w:bidi="ar-SA"/>
        </w:rPr>
        <w:t>协议提供</w:t>
      </w:r>
      <w:r>
        <w:rPr>
          <w:rFonts w:hint="eastAsia" w:ascii="Times New Roman" w:hAnsi="Times New Roman" w:eastAsia="仿宋_GB2312" w:cs="Times New Roman"/>
          <w:kern w:val="2"/>
          <w:sz w:val="32"/>
          <w:szCs w:val="32"/>
          <w:highlight w:val="none"/>
          <w:lang w:val="en-US" w:eastAsia="zh-CN" w:bidi="ar-SA"/>
        </w:rPr>
        <w:t>护理服务</w:t>
      </w:r>
      <w:r>
        <w:rPr>
          <w:rFonts w:hint="default" w:ascii="Times New Roman" w:hAnsi="Times New Roman" w:eastAsia="仿宋_GB2312" w:cs="Times New Roman"/>
          <w:kern w:val="2"/>
          <w:sz w:val="32"/>
          <w:szCs w:val="32"/>
          <w:highlight w:val="none"/>
          <w:lang w:val="en-US" w:eastAsia="zh-CN" w:bidi="ar-SA"/>
        </w:rPr>
        <w:t>。</w:t>
      </w:r>
    </w:p>
    <w:p w14:paraId="58B436A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rightChars="0" w:firstLine="643"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b/>
          <w:bCs/>
          <w:kern w:val="2"/>
          <w:sz w:val="32"/>
          <w:szCs w:val="32"/>
          <w:highlight w:val="none"/>
          <w:lang w:val="en-US" w:eastAsia="zh-CN" w:bidi="ar-SA"/>
        </w:rPr>
        <w:t>第三十一条</w:t>
      </w:r>
      <w:r>
        <w:rPr>
          <w:rFonts w:hint="eastAsia" w:ascii="Times New Roman" w:hAnsi="Times New Roman" w:eastAsia="仿宋_GB2312" w:cs="Times New Roman"/>
          <w:kern w:val="2"/>
          <w:sz w:val="32"/>
          <w:szCs w:val="32"/>
          <w:highlight w:val="none"/>
          <w:lang w:val="en-US" w:eastAsia="zh-CN" w:bidi="ar-SA"/>
        </w:rPr>
        <w:t xml:space="preserve"> </w:t>
      </w:r>
      <w:r>
        <w:rPr>
          <w:rFonts w:hint="default" w:ascii="Times New Roman" w:hAnsi="Times New Roman" w:eastAsia="仿宋_GB2312" w:cs="Times New Roman"/>
          <w:kern w:val="2"/>
          <w:sz w:val="32"/>
          <w:szCs w:val="32"/>
          <w:highlight w:val="none"/>
          <w:lang w:val="en-US" w:eastAsia="zh-CN" w:bidi="ar-SA"/>
        </w:rPr>
        <w:t>符合规定的长期护理服务费用</w:t>
      </w:r>
      <w:r>
        <w:rPr>
          <w:rFonts w:hint="eastAsia" w:ascii="Times New Roman" w:hAnsi="Times New Roman" w:eastAsia="仿宋_GB2312" w:cs="Times New Roman"/>
          <w:kern w:val="2"/>
          <w:sz w:val="32"/>
          <w:szCs w:val="32"/>
          <w:highlight w:val="none"/>
          <w:lang w:val="en-US" w:eastAsia="zh-CN" w:bidi="ar-SA"/>
        </w:rPr>
        <w:t>不设起付标准，具体待遇如下：</w:t>
      </w:r>
    </w:p>
    <w:p w14:paraId="6B9BFB93">
      <w:pPr>
        <w:pStyle w:val="2"/>
        <w:keepNext w:val="0"/>
        <w:keepLines w:val="0"/>
        <w:pageBreakBefore w:val="0"/>
        <w:kinsoku/>
        <w:overflowPunct/>
        <w:topLinePunct w:val="0"/>
        <w:autoSpaceDE/>
        <w:autoSpaceDN/>
        <w:bidi w:val="0"/>
        <w:adjustRightInd/>
        <w:snapToGrid/>
        <w:spacing w:line="520" w:lineRule="exact"/>
        <w:ind w:left="0" w:right="0" w:rightChars="0" w:firstLine="640" w:firstLineChars="200"/>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（一）参保职工待遇。</w:t>
      </w:r>
      <w:bookmarkStart w:id="3" w:name="_GoBack"/>
      <w:bookmarkEnd w:id="3"/>
    </w:p>
    <w:p w14:paraId="3396ED6D">
      <w:pPr>
        <w:pStyle w:val="2"/>
        <w:keepNext w:val="0"/>
        <w:keepLines w:val="0"/>
        <w:pageBreakBefore w:val="0"/>
        <w:kinsoku/>
        <w:overflowPunct/>
        <w:topLinePunct w:val="0"/>
        <w:autoSpaceDE/>
        <w:autoSpaceDN/>
        <w:bidi w:val="0"/>
        <w:adjustRightInd/>
        <w:snapToGrid/>
        <w:spacing w:line="520" w:lineRule="exact"/>
        <w:ind w:left="0" w:right="0" w:rightChars="0" w:firstLine="640" w:firstLineChars="200"/>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1.</w:t>
      </w:r>
      <w:r>
        <w:rPr>
          <w:rFonts w:hint="default" w:ascii="Times New Roman" w:hAnsi="Times New Roman" w:eastAsia="仿宋_GB2312" w:cs="Times New Roman"/>
          <w:kern w:val="2"/>
          <w:sz w:val="32"/>
          <w:szCs w:val="32"/>
          <w:highlight w:val="none"/>
          <w:lang w:val="en-US" w:eastAsia="zh-CN" w:bidi="ar-SA"/>
        </w:rPr>
        <w:t>机构护理</w:t>
      </w:r>
      <w:r>
        <w:rPr>
          <w:rFonts w:hint="eastAsia" w:ascii="Times New Roman" w:hAnsi="Times New Roman" w:eastAsia="仿宋_GB2312" w:cs="Times New Roman"/>
          <w:kern w:val="2"/>
          <w:sz w:val="32"/>
          <w:szCs w:val="32"/>
          <w:highlight w:val="none"/>
          <w:lang w:val="en-US" w:eastAsia="zh-CN" w:bidi="ar-SA"/>
        </w:rPr>
        <w:t>。</w:t>
      </w:r>
      <w:bookmarkStart w:id="0" w:name="OLE_LINK8"/>
      <w:r>
        <w:rPr>
          <w:rFonts w:hint="default" w:ascii="Times New Roman" w:hAnsi="Times New Roman" w:eastAsia="仿宋_GB2312" w:cs="Times New Roman"/>
          <w:kern w:val="2"/>
          <w:sz w:val="32"/>
          <w:szCs w:val="32"/>
          <w:highlight w:val="none"/>
          <w:lang w:val="en-US" w:eastAsia="zh-CN" w:bidi="ar-SA"/>
        </w:rPr>
        <w:t>医疗机构</w:t>
      </w:r>
      <w:bookmarkEnd w:id="0"/>
      <w:r>
        <w:rPr>
          <w:rFonts w:hint="eastAsia" w:ascii="Times New Roman" w:hAnsi="Times New Roman" w:eastAsia="仿宋_GB2312" w:cs="Times New Roman"/>
          <w:kern w:val="2"/>
          <w:sz w:val="32"/>
          <w:szCs w:val="32"/>
          <w:highlight w:val="none"/>
          <w:lang w:val="en-US" w:eastAsia="zh-CN" w:bidi="ar-SA"/>
        </w:rPr>
        <w:t>基金支付比例为70%，支付限额1800元/月；</w:t>
      </w:r>
      <w:bookmarkStart w:id="1" w:name="OLE_LINK19"/>
      <w:r>
        <w:rPr>
          <w:rFonts w:hint="eastAsia" w:ascii="Times New Roman" w:hAnsi="Times New Roman" w:eastAsia="仿宋_GB2312" w:cs="Times New Roman"/>
          <w:kern w:val="2"/>
          <w:sz w:val="32"/>
          <w:szCs w:val="32"/>
          <w:highlight w:val="none"/>
          <w:lang w:val="en-US" w:eastAsia="zh-CN" w:bidi="ar-SA"/>
        </w:rPr>
        <w:t>医养结合机构基金支付比例为70%，支付限额1600元/月；</w:t>
      </w:r>
      <w:r>
        <w:rPr>
          <w:rFonts w:hint="default" w:ascii="Times New Roman" w:hAnsi="Times New Roman" w:eastAsia="仿宋_GB2312" w:cs="Times New Roman"/>
          <w:kern w:val="2"/>
          <w:sz w:val="32"/>
          <w:szCs w:val="32"/>
          <w:highlight w:val="none"/>
          <w:lang w:val="en-US" w:eastAsia="zh-CN" w:bidi="ar-SA"/>
        </w:rPr>
        <w:t>养老机构</w:t>
      </w:r>
      <w:bookmarkEnd w:id="1"/>
      <w:r>
        <w:rPr>
          <w:rFonts w:hint="eastAsia" w:ascii="Times New Roman" w:hAnsi="Times New Roman" w:eastAsia="仿宋_GB2312" w:cs="Times New Roman"/>
          <w:kern w:val="2"/>
          <w:sz w:val="32"/>
          <w:szCs w:val="32"/>
          <w:highlight w:val="none"/>
          <w:lang w:val="en-US" w:eastAsia="zh-CN" w:bidi="ar-SA"/>
        </w:rPr>
        <w:t>基金支付比例为70%，支付限额1400元/月。机构护理不足整月的，按对应</w:t>
      </w:r>
      <w:r>
        <w:rPr>
          <w:rFonts w:hint="eastAsia" w:ascii="Times New Roman" w:hAnsi="Times New Roman" w:eastAsia="仿宋_GB2312" w:cs="Times New Roman"/>
          <w:strike w:val="0"/>
          <w:dstrike w:val="0"/>
          <w:kern w:val="2"/>
          <w:sz w:val="32"/>
          <w:szCs w:val="32"/>
          <w:highlight w:val="none"/>
          <w:lang w:val="en-US" w:eastAsia="zh-CN" w:bidi="ar-SA"/>
        </w:rPr>
        <w:t>月</w:t>
      </w:r>
      <w:r>
        <w:rPr>
          <w:rFonts w:hint="eastAsia" w:ascii="Times New Roman" w:hAnsi="Times New Roman" w:eastAsia="仿宋_GB2312" w:cs="Times New Roman"/>
          <w:kern w:val="2"/>
          <w:sz w:val="32"/>
          <w:szCs w:val="32"/>
          <w:highlight w:val="none"/>
          <w:lang w:val="en-US" w:eastAsia="zh-CN" w:bidi="ar-SA"/>
        </w:rPr>
        <w:t>支付限额÷30天</w:t>
      </w:r>
      <w:r>
        <w:rPr>
          <w:rFonts w:hint="default" w:ascii="Arial" w:hAnsi="Arial" w:eastAsia="仿宋_GB2312" w:cs="Arial"/>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实际享受待遇天数核算支付金额。</w:t>
      </w:r>
    </w:p>
    <w:p w14:paraId="468AD6C0">
      <w:pPr>
        <w:pStyle w:val="2"/>
        <w:keepNext w:val="0"/>
        <w:keepLines w:val="0"/>
        <w:pageBreakBefore w:val="0"/>
        <w:numPr>
          <w:ilvl w:val="0"/>
          <w:numId w:val="0"/>
        </w:numPr>
        <w:kinsoku/>
        <w:overflowPunct/>
        <w:topLinePunct w:val="0"/>
        <w:autoSpaceDE/>
        <w:autoSpaceDN/>
        <w:bidi w:val="0"/>
        <w:adjustRightInd/>
        <w:snapToGrid/>
        <w:spacing w:line="520" w:lineRule="exact"/>
        <w:ind w:right="0" w:rightChars="0" w:firstLine="640" w:firstLineChars="200"/>
        <w:textAlignment w:val="auto"/>
        <w:rPr>
          <w:rFonts w:hint="eastAsia"/>
          <w:highlight w:val="none"/>
          <w:lang w:val="en-US" w:eastAsia="zh-CN"/>
        </w:rPr>
      </w:pPr>
      <w:r>
        <w:rPr>
          <w:rFonts w:hint="eastAsia" w:ascii="Times New Roman" w:hAnsi="Times New Roman" w:eastAsia="仿宋_GB2312" w:cs="Times New Roman"/>
          <w:kern w:val="2"/>
          <w:sz w:val="32"/>
          <w:szCs w:val="32"/>
          <w:highlight w:val="none"/>
          <w:lang w:val="en-US" w:eastAsia="zh-CN" w:bidi="ar-SA"/>
        </w:rPr>
        <w:t>2.</w:t>
      </w:r>
      <w:r>
        <w:rPr>
          <w:rFonts w:hint="default" w:ascii="Times New Roman" w:hAnsi="Times New Roman" w:eastAsia="仿宋_GB2312" w:cs="Times New Roman"/>
          <w:kern w:val="2"/>
          <w:sz w:val="32"/>
          <w:szCs w:val="32"/>
          <w:highlight w:val="none"/>
          <w:lang w:val="en-US" w:eastAsia="zh-CN" w:bidi="ar-SA"/>
        </w:rPr>
        <w:t>社区护理</w:t>
      </w:r>
      <w:r>
        <w:rPr>
          <w:rFonts w:hint="eastAsia" w:ascii="Times New Roman" w:hAnsi="Times New Roman" w:eastAsia="仿宋_GB2312" w:cs="Times New Roman"/>
          <w:kern w:val="2"/>
          <w:sz w:val="32"/>
          <w:szCs w:val="32"/>
          <w:highlight w:val="none"/>
          <w:lang w:val="en-US" w:eastAsia="zh-CN" w:bidi="ar-SA"/>
        </w:rPr>
        <w:t>。基金支付比例为75%，支付限额1200元/月。护理不足整月的，按月支付限额÷30天</w:t>
      </w:r>
      <w:r>
        <w:rPr>
          <w:rFonts w:hint="default" w:ascii="Arial" w:hAnsi="Arial" w:eastAsia="仿宋_GB2312" w:cs="Arial"/>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实际享受待遇天数核算支付金额。</w:t>
      </w:r>
    </w:p>
    <w:p w14:paraId="4B729865">
      <w:pPr>
        <w:pStyle w:val="2"/>
        <w:keepNext w:val="0"/>
        <w:keepLines w:val="0"/>
        <w:pageBreakBefore w:val="0"/>
        <w:numPr>
          <w:ilvl w:val="0"/>
          <w:numId w:val="0"/>
        </w:numPr>
        <w:kinsoku/>
        <w:overflowPunct/>
        <w:topLinePunct w:val="0"/>
        <w:autoSpaceDE/>
        <w:autoSpaceDN/>
        <w:bidi w:val="0"/>
        <w:adjustRightInd/>
        <w:snapToGrid/>
        <w:spacing w:line="520" w:lineRule="exact"/>
        <w:ind w:right="0" w:rightChars="0" w:firstLine="640" w:firstLineChars="200"/>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3.居家护理。支付限额1100元/月，服务标准为10次/月，服务时长每次120分钟，原则上不能连续两日进行护理。护理不足整月的，按实际上门护理服务次数核算支付金额。</w:t>
      </w:r>
    </w:p>
    <w:p w14:paraId="6EF0FECE">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（二）未就业城乡居民参保人员待遇。待遇标准与筹资水平挂钩，</w:t>
      </w:r>
      <w:r>
        <w:rPr>
          <w:rFonts w:ascii="仿宋_GB2312" w:hAnsi="仿宋_GB2312" w:eastAsia="仿宋_GB2312" w:cs="仿宋_GB2312"/>
          <w:sz w:val="32"/>
          <w:szCs w:val="32"/>
          <w:highlight w:val="none"/>
          <w:lang w:eastAsia="zh-CN"/>
        </w:rPr>
        <w:t>筹资标准</w:t>
      </w:r>
      <w:r>
        <w:rPr>
          <w:rFonts w:hint="eastAsia" w:ascii="仿宋_GB2312" w:hAnsi="仿宋_GB2312" w:eastAsia="仿宋_GB2312" w:cs="仿宋_GB2312"/>
          <w:sz w:val="32"/>
          <w:szCs w:val="32"/>
          <w:highlight w:val="none"/>
          <w:lang w:eastAsia="zh-CN"/>
        </w:rPr>
        <w:t>从</w:t>
      </w:r>
      <w:r>
        <w:rPr>
          <w:rFonts w:hint="eastAsia" w:ascii="Times New Roman" w:hAnsi="Times New Roman" w:eastAsia="仿宋_GB2312" w:cs="Times New Roman"/>
          <w:kern w:val="2"/>
          <w:sz w:val="32"/>
          <w:szCs w:val="32"/>
          <w:highlight w:val="none"/>
          <w:lang w:val="en-US" w:eastAsia="zh-CN" w:bidi="ar-SA"/>
        </w:rPr>
        <w:t>0.15%</w:t>
      </w:r>
      <w:r>
        <w:rPr>
          <w:rFonts w:hint="eastAsia" w:ascii="仿宋_GB2312" w:hAnsi="仿宋_GB2312" w:eastAsia="仿宋_GB2312" w:cs="仿宋_GB2312"/>
          <w:sz w:val="32"/>
          <w:szCs w:val="32"/>
          <w:highlight w:val="none"/>
          <w:lang w:eastAsia="zh-CN"/>
        </w:rPr>
        <w:t>逐步过渡到</w:t>
      </w:r>
      <w:r>
        <w:rPr>
          <w:rFonts w:hint="eastAsia" w:ascii="Times New Roman" w:hAnsi="Times New Roman" w:eastAsia="仿宋_GB2312" w:cs="Times New Roman"/>
          <w:kern w:val="2"/>
          <w:sz w:val="32"/>
          <w:szCs w:val="32"/>
          <w:highlight w:val="none"/>
          <w:lang w:val="en-US" w:eastAsia="zh-CN" w:bidi="ar-SA"/>
        </w:rPr>
        <w:t>0.30%</w:t>
      </w:r>
      <w:r>
        <w:rPr>
          <w:rFonts w:ascii="仿宋_GB2312" w:hAnsi="仿宋_GB2312" w:eastAsia="仿宋_GB2312" w:cs="仿宋_GB2312"/>
          <w:sz w:val="32"/>
          <w:szCs w:val="32"/>
          <w:highlight w:val="none"/>
          <w:lang w:eastAsia="zh-CN"/>
        </w:rPr>
        <w:t>，待遇水平相应提高</w:t>
      </w:r>
      <w:r>
        <w:rPr>
          <w:rFonts w:hint="eastAsia" w:ascii="Times New Roman" w:hAnsi="Times New Roman" w:eastAsia="仿宋_GB2312" w:cs="Times New Roman"/>
          <w:kern w:val="2"/>
          <w:sz w:val="32"/>
          <w:szCs w:val="32"/>
          <w:highlight w:val="none"/>
          <w:lang w:val="en-US" w:eastAsia="zh-CN" w:bidi="ar-SA"/>
        </w:rPr>
        <w:t>：</w:t>
      </w:r>
    </w:p>
    <w:p w14:paraId="1F15A473">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1.按0.15%费率筹资的，基金年度最高支付限额原则上不超过我市上年度城乡居民人均可支配收入的40%，符合规定的长期护理费用基金支付比例为30%左右；</w:t>
      </w:r>
    </w:p>
    <w:p w14:paraId="284F3563">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2.按0.3%费率筹资的，基金年度最高支付限额原则上不超过我市上年度城乡居民人均可支配收入的50%，基金支付比例为50%左右。</w:t>
      </w:r>
    </w:p>
    <w:p w14:paraId="6BF6BAAA">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18周岁以下未就业人员经失能等级评估符合待遇享受条件的，按本市未就业城乡居民长护险待遇标准享受待遇；父母或其他法定抚养人双方均符合参保条件仅一方参保的，该人员待遇按对应标准减半享受，双方均未参加长护险的，该人员不享受长护险待遇。孤儿、事实无人抚养儿童等视同参保人员，经失能等级评估符合条件的，按本市未就业城乡居民长护险待遇标准享受待遇。</w:t>
      </w:r>
    </w:p>
    <w:p w14:paraId="3ED48563">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textAlignment w:val="auto"/>
        <w:rPr>
          <w:rFonts w:hint="eastAsia"/>
          <w:highlight w:val="none"/>
          <w:lang w:val="en-US" w:eastAsia="zh-CN"/>
        </w:rPr>
      </w:pPr>
      <w:r>
        <w:rPr>
          <w:rFonts w:hint="eastAsia" w:ascii="Times New Roman" w:hAnsi="Times New Roman" w:eastAsia="仿宋_GB2312" w:cs="Times New Roman"/>
          <w:kern w:val="2"/>
          <w:sz w:val="32"/>
          <w:szCs w:val="32"/>
          <w:highlight w:val="none"/>
          <w:lang w:val="en-US" w:eastAsia="zh-CN" w:bidi="ar-SA"/>
        </w:rPr>
        <w:t>未就业城乡居民纳入长护险保障范围后，其机构护理、社区护理、居家护理的具体待遇支付标准另行制定。</w:t>
      </w:r>
    </w:p>
    <w:p w14:paraId="78168BB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rightChars="0" w:firstLine="643"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b/>
          <w:bCs/>
          <w:kern w:val="2"/>
          <w:sz w:val="32"/>
          <w:szCs w:val="32"/>
          <w:highlight w:val="none"/>
          <w:lang w:val="en-US" w:eastAsia="zh-CN" w:bidi="ar-SA"/>
        </w:rPr>
        <w:t xml:space="preserve">第三十二条 </w:t>
      </w:r>
      <w:r>
        <w:rPr>
          <w:rFonts w:hint="eastAsia" w:ascii="Times New Roman" w:hAnsi="Times New Roman" w:eastAsia="仿宋_GB2312" w:cs="Times New Roman"/>
          <w:kern w:val="2"/>
          <w:sz w:val="32"/>
          <w:szCs w:val="32"/>
          <w:highlight w:val="none"/>
          <w:lang w:val="en-US" w:eastAsia="zh-CN" w:bidi="ar-SA"/>
        </w:rPr>
        <w:t>参保人在定点长护服务机构发生的</w:t>
      </w:r>
      <w:r>
        <w:rPr>
          <w:rFonts w:hint="default" w:ascii="Times New Roman" w:hAnsi="Times New Roman" w:eastAsia="仿宋_GB2312" w:cs="Times New Roman"/>
          <w:kern w:val="2"/>
          <w:sz w:val="32"/>
          <w:szCs w:val="32"/>
          <w:highlight w:val="none"/>
          <w:lang w:val="en-US" w:eastAsia="zh-CN" w:bidi="ar-SA"/>
        </w:rPr>
        <w:t>长期护理服务费用</w:t>
      </w:r>
      <w:r>
        <w:rPr>
          <w:rFonts w:hint="eastAsia" w:ascii="Times New Roman" w:hAnsi="Times New Roman" w:eastAsia="仿宋_GB2312" w:cs="Times New Roman"/>
          <w:kern w:val="2"/>
          <w:sz w:val="32"/>
          <w:szCs w:val="32"/>
          <w:highlight w:val="none"/>
          <w:lang w:val="en-US" w:eastAsia="zh-CN" w:bidi="ar-SA"/>
        </w:rPr>
        <w:t>，应由基金支付的部分，由经办机构与定点长护服务机构按月结算；应由个人负担的部分，由参保人与定点长护服务机构直接结算。</w:t>
      </w:r>
    </w:p>
    <w:p w14:paraId="4486FB3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right="0" w:rightChars="0" w:firstLine="643"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b/>
          <w:bCs/>
          <w:kern w:val="2"/>
          <w:sz w:val="32"/>
          <w:szCs w:val="32"/>
          <w:highlight w:val="none"/>
          <w:lang w:val="en-US" w:eastAsia="zh-CN" w:bidi="ar-SA"/>
        </w:rPr>
        <w:t xml:space="preserve">第三十三条 </w:t>
      </w:r>
      <w:r>
        <w:rPr>
          <w:rFonts w:hint="eastAsia" w:ascii="Times New Roman" w:hAnsi="Times New Roman" w:eastAsia="仿宋_GB2312" w:cs="Times New Roman"/>
          <w:kern w:val="2"/>
          <w:sz w:val="32"/>
          <w:szCs w:val="32"/>
          <w:highlight w:val="none"/>
          <w:lang w:val="en-US" w:eastAsia="zh-CN" w:bidi="ar-SA"/>
        </w:rPr>
        <w:t>以下情形长护险基金不予支付：</w:t>
      </w:r>
    </w:p>
    <w:p w14:paraId="1AD64B54">
      <w:pPr>
        <w:keepNext w:val="0"/>
        <w:keepLines w:val="0"/>
        <w:pageBreakBefore w:val="0"/>
        <w:tabs>
          <w:tab w:val="left" w:pos="8200"/>
        </w:tabs>
        <w:kinsoku/>
        <w:overflowPunct/>
        <w:topLinePunct w:val="0"/>
        <w:autoSpaceDE/>
        <w:autoSpaceDN/>
        <w:bidi w:val="0"/>
        <w:adjustRightInd/>
        <w:snapToGrid/>
        <w:spacing w:line="520" w:lineRule="exact"/>
        <w:ind w:right="0" w:rightChars="0" w:firstLine="640" w:firstLineChars="200"/>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（一）属于基本医疗保险、工伤保险、生育保险支付范围，或应由第三人负担的护理、康复费用；</w:t>
      </w:r>
    </w:p>
    <w:p w14:paraId="1364E267">
      <w:pPr>
        <w:keepNext w:val="0"/>
        <w:keepLines w:val="0"/>
        <w:pageBreakBefore w:val="0"/>
        <w:tabs>
          <w:tab w:val="left" w:pos="8200"/>
        </w:tabs>
        <w:kinsoku/>
        <w:overflowPunct/>
        <w:topLinePunct w:val="0"/>
        <w:autoSpaceDE/>
        <w:autoSpaceDN/>
        <w:bidi w:val="0"/>
        <w:adjustRightInd/>
        <w:snapToGrid/>
        <w:spacing w:line="520" w:lineRule="exact"/>
        <w:ind w:right="0" w:rightChars="0" w:firstLine="640" w:firstLineChars="200"/>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（二）机构床位费、膳食费等非护理服务费用；</w:t>
      </w:r>
    </w:p>
    <w:p w14:paraId="1371A39E">
      <w:pPr>
        <w:keepNext w:val="0"/>
        <w:keepLines w:val="0"/>
        <w:pageBreakBefore w:val="0"/>
        <w:tabs>
          <w:tab w:val="left" w:pos="8200"/>
        </w:tabs>
        <w:kinsoku/>
        <w:overflowPunct/>
        <w:topLinePunct w:val="0"/>
        <w:autoSpaceDE/>
        <w:autoSpaceDN/>
        <w:bidi w:val="0"/>
        <w:adjustRightInd/>
        <w:snapToGrid/>
        <w:spacing w:line="520" w:lineRule="exact"/>
        <w:ind w:right="0" w:rightChars="0" w:firstLine="640" w:firstLineChars="200"/>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（三）参保人住院治疗期间产生的护理费用；</w:t>
      </w:r>
    </w:p>
    <w:p w14:paraId="37612651">
      <w:pPr>
        <w:keepNext w:val="0"/>
        <w:keepLines w:val="0"/>
        <w:pageBreakBefore w:val="0"/>
        <w:tabs>
          <w:tab w:val="left" w:pos="8200"/>
        </w:tabs>
        <w:kinsoku/>
        <w:overflowPunct/>
        <w:topLinePunct w:val="0"/>
        <w:autoSpaceDE/>
        <w:autoSpaceDN/>
        <w:bidi w:val="0"/>
        <w:adjustRightInd/>
        <w:snapToGrid/>
        <w:spacing w:line="520" w:lineRule="exact"/>
        <w:ind w:right="0" w:rightChars="0" w:firstLine="640" w:firstLineChars="200"/>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（四）未在定点长护服务机构发生的护理服务费用；</w:t>
      </w:r>
    </w:p>
    <w:p w14:paraId="1C0BF1AF">
      <w:pPr>
        <w:keepNext w:val="0"/>
        <w:keepLines w:val="0"/>
        <w:pageBreakBefore w:val="0"/>
        <w:tabs>
          <w:tab w:val="left" w:pos="8200"/>
        </w:tabs>
        <w:kinsoku/>
        <w:overflowPunct/>
        <w:topLinePunct w:val="0"/>
        <w:autoSpaceDE/>
        <w:autoSpaceDN/>
        <w:bidi w:val="0"/>
        <w:adjustRightInd/>
        <w:snapToGrid/>
        <w:spacing w:line="520" w:lineRule="exact"/>
        <w:ind w:right="0" w:rightChars="0" w:firstLine="640"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（五）按照有关规定不予支付的其他情形。</w:t>
      </w:r>
    </w:p>
    <w:p w14:paraId="5239CFA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rightChars="0" w:firstLine="643"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b/>
          <w:bCs/>
          <w:kern w:val="2"/>
          <w:sz w:val="32"/>
          <w:szCs w:val="32"/>
          <w:highlight w:val="none"/>
          <w:lang w:val="en-US" w:eastAsia="zh-CN" w:bidi="ar-SA"/>
        </w:rPr>
        <w:t>第三十四条</w:t>
      </w:r>
      <w:r>
        <w:rPr>
          <w:rFonts w:hint="eastAsia" w:ascii="Times New Roman" w:hAnsi="Times New Roman" w:eastAsia="仿宋_GB2312" w:cs="Times New Roman"/>
          <w:kern w:val="2"/>
          <w:sz w:val="32"/>
          <w:szCs w:val="32"/>
          <w:highlight w:val="none"/>
          <w:lang w:val="en-US" w:eastAsia="zh-CN" w:bidi="ar-SA"/>
        </w:rPr>
        <w:t xml:space="preserve"> </w:t>
      </w:r>
      <w:r>
        <w:rPr>
          <w:rFonts w:hint="default" w:ascii="Times New Roman" w:hAnsi="Times New Roman" w:eastAsia="仿宋_GB2312" w:cs="Times New Roman"/>
          <w:kern w:val="2"/>
          <w:sz w:val="32"/>
          <w:szCs w:val="32"/>
          <w:highlight w:val="none"/>
          <w:lang w:val="en-US" w:eastAsia="zh-CN" w:bidi="ar-SA"/>
        </w:rPr>
        <w:t>失能人员享受长护险待遇期间</w:t>
      </w:r>
      <w:r>
        <w:rPr>
          <w:rFonts w:hint="eastAsia" w:ascii="Times New Roman" w:hAnsi="Times New Roman" w:eastAsia="仿宋_GB2312" w:cs="Times New Roman"/>
          <w:kern w:val="2"/>
          <w:sz w:val="32"/>
          <w:szCs w:val="32"/>
          <w:highlight w:val="none"/>
          <w:lang w:val="en-US" w:eastAsia="zh-CN" w:bidi="ar-SA"/>
        </w:rPr>
        <w:t>，出现下列情形之一的，按以下规定调整或终止待遇：</w:t>
      </w:r>
    </w:p>
    <w:p w14:paraId="005D5CDF">
      <w:pPr>
        <w:pStyle w:val="2"/>
        <w:keepNext w:val="0"/>
        <w:keepLines w:val="0"/>
        <w:pageBreakBefore w:val="0"/>
        <w:kinsoku/>
        <w:overflowPunct/>
        <w:topLinePunct w:val="0"/>
        <w:autoSpaceDE/>
        <w:autoSpaceDN/>
        <w:bidi w:val="0"/>
        <w:adjustRightInd/>
        <w:snapToGrid/>
        <w:spacing w:line="520" w:lineRule="exact"/>
        <w:ind w:right="0" w:rightChars="0" w:firstLine="640"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（一）长护险参保缴费暂停、中断的，自暂停、中断次月起暂停待遇；按规定补缴欠费并恢复正常参保状态的，自缴费到账次月起恢复待遇；</w:t>
      </w:r>
    </w:p>
    <w:p w14:paraId="46CBDBF9">
      <w:pPr>
        <w:pStyle w:val="2"/>
        <w:keepNext w:val="0"/>
        <w:keepLines w:val="0"/>
        <w:pageBreakBefore w:val="0"/>
        <w:kinsoku/>
        <w:overflowPunct/>
        <w:topLinePunct w:val="0"/>
        <w:autoSpaceDE/>
        <w:autoSpaceDN/>
        <w:bidi w:val="0"/>
        <w:adjustRightInd/>
        <w:snapToGrid/>
        <w:spacing w:line="520" w:lineRule="exact"/>
        <w:ind w:right="0" w:rightChars="0" w:firstLine="640"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（二）变更护理服务方式或定点护理服务机构的，自变更次月起按新选定的服务方式或服务机构享受待遇；</w:t>
      </w:r>
    </w:p>
    <w:p w14:paraId="126D8010">
      <w:pPr>
        <w:pStyle w:val="2"/>
        <w:keepNext w:val="0"/>
        <w:keepLines w:val="0"/>
        <w:pageBreakBefore w:val="0"/>
        <w:kinsoku/>
        <w:overflowPunct/>
        <w:topLinePunct w:val="0"/>
        <w:autoSpaceDE/>
        <w:autoSpaceDN/>
        <w:bidi w:val="0"/>
        <w:adjustRightInd/>
        <w:snapToGrid/>
        <w:spacing w:line="520" w:lineRule="exact"/>
        <w:ind w:right="0" w:rightChars="0" w:firstLine="640"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（三）因病情需要住院治疗的，住院期间暂停待遇，自出院</w:t>
      </w:r>
      <w:r>
        <w:rPr>
          <w:rFonts w:hint="eastAsia" w:ascii="Times New Roman" w:hAnsi="Times New Roman" w:eastAsia="仿宋_GB2312" w:cs="Times New Roman"/>
          <w:kern w:val="2"/>
          <w:sz w:val="32"/>
          <w:szCs w:val="32"/>
          <w:highlight w:val="none"/>
          <w:lang w:val="en-US" w:eastAsia="zh-CN" w:bidi="ar-SA"/>
        </w:rPr>
        <w:t>次日</w:t>
      </w:r>
      <w:r>
        <w:rPr>
          <w:rFonts w:hint="default" w:ascii="Times New Roman" w:hAnsi="Times New Roman" w:eastAsia="仿宋_GB2312" w:cs="Times New Roman"/>
          <w:kern w:val="2"/>
          <w:sz w:val="32"/>
          <w:szCs w:val="32"/>
          <w:highlight w:val="none"/>
          <w:lang w:val="en-US" w:eastAsia="zh-CN" w:bidi="ar-SA"/>
        </w:rPr>
        <w:t>起恢复待遇；</w:t>
      </w:r>
    </w:p>
    <w:p w14:paraId="3D4B63DD">
      <w:pPr>
        <w:pStyle w:val="2"/>
        <w:keepNext w:val="0"/>
        <w:keepLines w:val="0"/>
        <w:pageBreakBefore w:val="0"/>
        <w:kinsoku/>
        <w:overflowPunct/>
        <w:topLinePunct w:val="0"/>
        <w:autoSpaceDE/>
        <w:autoSpaceDN/>
        <w:bidi w:val="0"/>
        <w:adjustRightInd/>
        <w:snapToGrid/>
        <w:spacing w:line="520" w:lineRule="exact"/>
        <w:ind w:right="0" w:rightChars="0" w:firstLine="640"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（四）经</w:t>
      </w:r>
      <w:r>
        <w:rPr>
          <w:rFonts w:hint="eastAsia" w:ascii="Times New Roman" w:hAnsi="Times New Roman" w:eastAsia="仿宋_GB2312" w:cs="Times New Roman"/>
          <w:kern w:val="2"/>
          <w:sz w:val="32"/>
          <w:szCs w:val="32"/>
          <w:highlight w:val="none"/>
          <w:lang w:val="en-US" w:eastAsia="zh-CN" w:bidi="ar-SA"/>
        </w:rPr>
        <w:t>抽查复评、期末评估等</w:t>
      </w:r>
      <w:r>
        <w:rPr>
          <w:rFonts w:hint="default" w:ascii="Times New Roman" w:hAnsi="Times New Roman" w:eastAsia="仿宋_GB2312" w:cs="Times New Roman"/>
          <w:kern w:val="2"/>
          <w:sz w:val="32"/>
          <w:szCs w:val="32"/>
          <w:highlight w:val="none"/>
          <w:lang w:val="en-US" w:eastAsia="zh-CN" w:bidi="ar-SA"/>
        </w:rPr>
        <w:t>不符合重度失能标准的，自评估结论书出具次日起终止待遇；</w:t>
      </w:r>
    </w:p>
    <w:p w14:paraId="6FFBDAAE">
      <w:pPr>
        <w:pStyle w:val="2"/>
        <w:keepNext w:val="0"/>
        <w:keepLines w:val="0"/>
        <w:pageBreakBefore w:val="0"/>
        <w:kinsoku/>
        <w:overflowPunct/>
        <w:topLinePunct w:val="0"/>
        <w:autoSpaceDE/>
        <w:autoSpaceDN/>
        <w:bidi w:val="0"/>
        <w:adjustRightInd/>
        <w:snapToGrid/>
        <w:spacing w:line="520" w:lineRule="exact"/>
        <w:ind w:right="0" w:rightChars="0" w:firstLine="640" w:firstLineChars="200"/>
        <w:textAlignment w:val="auto"/>
        <w:rPr>
          <w:rFonts w:hint="eastAsia" w:ascii="黑体" w:hAnsi="黑体" w:eastAsia="黑体" w:cs="黑体"/>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（五）失能人员死亡的，自死亡次日起终止待遇。</w:t>
      </w:r>
    </w:p>
    <w:p w14:paraId="38793A35">
      <w:pPr>
        <w:keepNext w:val="0"/>
        <w:keepLines w:val="0"/>
        <w:pageBreakBefore w:val="0"/>
        <w:kinsoku/>
        <w:overflowPunct/>
        <w:topLinePunct w:val="0"/>
        <w:autoSpaceDE/>
        <w:autoSpaceDN/>
        <w:bidi w:val="0"/>
        <w:adjustRightInd/>
        <w:snapToGrid/>
        <w:spacing w:line="520" w:lineRule="exact"/>
        <w:ind w:right="0" w:rightChars="0"/>
        <w:jc w:val="center"/>
        <w:textAlignment w:val="auto"/>
        <w:rPr>
          <w:rFonts w:hint="eastAsia"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第五章 机构管理</w:t>
      </w:r>
    </w:p>
    <w:p w14:paraId="01966AF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right="0" w:rightChars="0"/>
        <w:jc w:val="center"/>
        <w:textAlignment w:val="auto"/>
        <w:rPr>
          <w:rFonts w:hint="eastAsia" w:ascii="Times New Roman" w:hAnsi="Times New Roman" w:eastAsia="仿宋_GB2312" w:cs="Times New Roman"/>
          <w:kern w:val="2"/>
          <w:sz w:val="32"/>
          <w:szCs w:val="32"/>
          <w:highlight w:val="none"/>
          <w:lang w:val="en-US" w:eastAsia="zh-CN" w:bidi="ar-SA"/>
        </w:rPr>
      </w:pPr>
      <w:r>
        <w:rPr>
          <w:rFonts w:hint="default" w:ascii="Times New Roman" w:hAnsi="Times New Roman" w:eastAsia="楷体" w:cs="Times New Roman"/>
          <w:kern w:val="2"/>
          <w:sz w:val="32"/>
          <w:szCs w:val="24"/>
          <w:highlight w:val="none"/>
          <w:lang w:val="en-US" w:eastAsia="zh-CN" w:bidi="ar-SA"/>
        </w:rPr>
        <w:t>第</w:t>
      </w:r>
      <w:r>
        <w:rPr>
          <w:rFonts w:hint="eastAsia" w:ascii="Times New Roman" w:hAnsi="Times New Roman" w:eastAsia="楷体" w:cs="Times New Roman"/>
          <w:kern w:val="2"/>
          <w:sz w:val="32"/>
          <w:szCs w:val="24"/>
          <w:highlight w:val="none"/>
          <w:lang w:val="en-US" w:eastAsia="zh-CN" w:bidi="ar-SA"/>
        </w:rPr>
        <w:t>一</w:t>
      </w:r>
      <w:r>
        <w:rPr>
          <w:rFonts w:hint="default" w:ascii="Times New Roman" w:hAnsi="Times New Roman" w:eastAsia="楷体" w:cs="Times New Roman"/>
          <w:kern w:val="2"/>
          <w:sz w:val="32"/>
          <w:szCs w:val="24"/>
          <w:highlight w:val="none"/>
          <w:lang w:val="en-US" w:eastAsia="zh-CN" w:bidi="ar-SA"/>
        </w:rPr>
        <w:t>节</w:t>
      </w:r>
      <w:r>
        <w:rPr>
          <w:rFonts w:hint="eastAsia" w:ascii="Times New Roman" w:hAnsi="Times New Roman" w:eastAsia="楷体" w:cs="Times New Roman"/>
          <w:kern w:val="2"/>
          <w:sz w:val="32"/>
          <w:szCs w:val="24"/>
          <w:highlight w:val="none"/>
          <w:lang w:val="en-US" w:eastAsia="zh-CN" w:bidi="ar-SA"/>
        </w:rPr>
        <w:t xml:space="preserve"> </w:t>
      </w:r>
      <w:r>
        <w:rPr>
          <w:rFonts w:hint="default" w:ascii="Times New Roman" w:hAnsi="Times New Roman" w:eastAsia="楷体" w:cs="Times New Roman"/>
          <w:kern w:val="2"/>
          <w:sz w:val="32"/>
          <w:szCs w:val="24"/>
          <w:highlight w:val="none"/>
          <w:lang w:val="en-US" w:eastAsia="zh-CN" w:bidi="ar-SA"/>
        </w:rPr>
        <w:t xml:space="preserve"> 定点评估机构</w:t>
      </w:r>
    </w:p>
    <w:p w14:paraId="70422DC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rightChars="0" w:firstLine="643" w:firstLineChars="200"/>
        <w:jc w:val="both"/>
        <w:textAlignment w:val="auto"/>
        <w:rPr>
          <w:rFonts w:hint="eastAsia" w:ascii="Times New Roman" w:hAnsi="Times New Roman" w:eastAsia="仿宋_GB2312" w:cs="Times New Roman"/>
          <w:sz w:val="32"/>
          <w:szCs w:val="32"/>
          <w:highlight w:val="none"/>
          <w:lang w:val="en-US" w:eastAsia="zh-CN" w:bidi="ar-SA"/>
        </w:rPr>
      </w:pPr>
      <w:r>
        <w:rPr>
          <w:rFonts w:hint="eastAsia" w:ascii="Times New Roman" w:hAnsi="Times New Roman" w:eastAsia="仿宋_GB2312" w:cs="Times New Roman"/>
          <w:b/>
          <w:bCs/>
          <w:sz w:val="32"/>
          <w:szCs w:val="32"/>
          <w:highlight w:val="none"/>
          <w:lang w:eastAsia="zh-CN" w:bidi="ar-SA"/>
        </w:rPr>
        <w:t>第三十五条</w:t>
      </w:r>
      <w:r>
        <w:rPr>
          <w:rFonts w:hint="eastAsia" w:ascii="Times New Roman" w:hAnsi="Times New Roman" w:eastAsia="仿宋_GB2312" w:cs="Times New Roman"/>
          <w:b/>
          <w:bCs/>
          <w:sz w:val="32"/>
          <w:szCs w:val="32"/>
          <w:highlight w:val="none"/>
          <w:lang w:val="en-US" w:eastAsia="zh-CN" w:bidi="ar-SA"/>
        </w:rPr>
        <w:t xml:space="preserve"> </w:t>
      </w:r>
      <w:r>
        <w:rPr>
          <w:rFonts w:hint="eastAsia" w:ascii="Times New Roman" w:hAnsi="Times New Roman" w:eastAsia="仿宋_GB2312" w:cs="Times New Roman"/>
          <w:kern w:val="2"/>
          <w:sz w:val="32"/>
          <w:szCs w:val="32"/>
          <w:highlight w:val="none"/>
          <w:lang w:val="en-US" w:eastAsia="zh-CN" w:bidi="ar-SA"/>
        </w:rPr>
        <w:t>长护险失能等级评估机构是指纳入本市长护险失能等级评估机构定点管理，依照有关规定对长护险参保人开展失能等级评估的机构。</w:t>
      </w:r>
    </w:p>
    <w:p w14:paraId="30583D0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rightChars="0" w:firstLine="643" w:firstLineChars="200"/>
        <w:jc w:val="both"/>
        <w:textAlignment w:val="auto"/>
        <w:rPr>
          <w:rFonts w:hint="eastAsia" w:ascii="Times New Roman" w:hAnsi="Times New Roman" w:eastAsia="仿宋_GB2312" w:cs="Times New Roman"/>
          <w:sz w:val="32"/>
          <w:szCs w:val="32"/>
          <w:highlight w:val="none"/>
          <w:lang w:val="en-US" w:eastAsia="zh-CN" w:bidi="ar-SA"/>
        </w:rPr>
      </w:pPr>
      <w:r>
        <w:rPr>
          <w:rFonts w:hint="eastAsia" w:ascii="Times New Roman" w:hAnsi="Times New Roman" w:eastAsia="仿宋_GB2312" w:cs="Times New Roman"/>
          <w:b/>
          <w:bCs/>
          <w:kern w:val="2"/>
          <w:sz w:val="32"/>
          <w:szCs w:val="32"/>
          <w:highlight w:val="none"/>
          <w:lang w:val="en-US" w:eastAsia="zh-CN" w:bidi="ar-SA"/>
        </w:rPr>
        <w:t>第三十六条</w:t>
      </w:r>
      <w:r>
        <w:rPr>
          <w:rFonts w:hint="eastAsia" w:ascii="Times New Roman" w:hAnsi="Times New Roman" w:eastAsia="仿宋_GB2312" w:cs="Times New Roman"/>
          <w:kern w:val="2"/>
          <w:sz w:val="32"/>
          <w:szCs w:val="32"/>
          <w:highlight w:val="none"/>
          <w:lang w:val="en-US" w:eastAsia="zh-CN" w:bidi="ar-SA"/>
        </w:rPr>
        <w:t xml:space="preserve"> 市医保经办机构负责确定定点评估机构，签订评估服务协议，依协议进行管理。市医保行政部门在申请受理、审核确定、协议订立、协议解除等环节对医保经办机构、定点评估机构等有关行为进行监督。</w:t>
      </w:r>
    </w:p>
    <w:p w14:paraId="75B958B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rightChars="0" w:firstLine="643" w:firstLineChars="200"/>
        <w:jc w:val="both"/>
        <w:textAlignment w:val="auto"/>
        <w:rPr>
          <w:rFonts w:hint="eastAsia" w:ascii="Times New Roman" w:hAnsi="Times New Roman" w:eastAsia="仿宋_GB2312" w:cs="Times New Roman"/>
          <w:sz w:val="32"/>
          <w:szCs w:val="32"/>
          <w:highlight w:val="none"/>
          <w:lang w:val="en-US" w:eastAsia="zh-CN" w:bidi="ar-SA"/>
        </w:rPr>
      </w:pPr>
      <w:r>
        <w:rPr>
          <w:rFonts w:hint="eastAsia" w:ascii="Times New Roman" w:hAnsi="Times New Roman" w:eastAsia="仿宋_GB2312" w:cs="Times New Roman"/>
          <w:b/>
          <w:bCs/>
          <w:kern w:val="2"/>
          <w:sz w:val="32"/>
          <w:szCs w:val="32"/>
          <w:highlight w:val="none"/>
          <w:lang w:val="en-US" w:eastAsia="zh-CN" w:bidi="ar-SA"/>
        </w:rPr>
        <w:t xml:space="preserve">第三十七条 </w:t>
      </w:r>
      <w:r>
        <w:rPr>
          <w:rFonts w:hint="eastAsia" w:ascii="Times New Roman" w:hAnsi="Times New Roman" w:eastAsia="仿宋_GB2312" w:cs="Times New Roman"/>
          <w:sz w:val="32"/>
          <w:szCs w:val="32"/>
          <w:highlight w:val="none"/>
          <w:lang w:val="en-US" w:eastAsia="zh-CN" w:bidi="ar-SA"/>
        </w:rPr>
        <w:t>申请成为定点评估机构，应具备失能等级评估机构定点管理办法规定的业务范围、场地及人员配备、信息系统、管理制度等基本条件。</w:t>
      </w:r>
    </w:p>
    <w:p w14:paraId="2E8989D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rightChars="0" w:firstLine="643"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b/>
          <w:bCs/>
          <w:kern w:val="2"/>
          <w:sz w:val="32"/>
          <w:szCs w:val="32"/>
          <w:highlight w:val="none"/>
          <w:lang w:val="en-US" w:eastAsia="zh-CN" w:bidi="ar-SA"/>
        </w:rPr>
        <w:t>第三十八条</w:t>
      </w:r>
      <w:r>
        <w:rPr>
          <w:rFonts w:hint="eastAsia" w:ascii="Times New Roman" w:hAnsi="Times New Roman" w:eastAsia="仿宋_GB2312" w:cs="Times New Roman"/>
          <w:kern w:val="2"/>
          <w:sz w:val="32"/>
          <w:szCs w:val="32"/>
          <w:highlight w:val="none"/>
          <w:lang w:val="en-US" w:eastAsia="zh-CN" w:bidi="ar-SA"/>
        </w:rPr>
        <w:t xml:space="preserve"> 定点评估机构应当遵守国家和省、市有关长护险政策规定，按照评估服务协议要求，加强内部建设，配备与评估工作相适应的专员化人员队伍，确保评估质量和结论准确性。</w:t>
      </w:r>
    </w:p>
    <w:p w14:paraId="4F67D33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rightChars="0" w:firstLine="643" w:firstLineChars="200"/>
        <w:jc w:val="both"/>
        <w:textAlignment w:val="auto"/>
        <w:rPr>
          <w:rFonts w:hint="default" w:ascii="Times New Roman" w:hAnsi="Times New Roman" w:eastAsia="仿宋_GB2312" w:cs="Times New Roman"/>
          <w:sz w:val="32"/>
          <w:szCs w:val="32"/>
          <w:highlight w:val="none"/>
          <w:lang w:val="en-US" w:eastAsia="zh-CN" w:bidi="ar-SA"/>
        </w:rPr>
      </w:pPr>
      <w:r>
        <w:rPr>
          <w:rFonts w:hint="eastAsia" w:ascii="Times New Roman" w:hAnsi="Times New Roman" w:eastAsia="仿宋_GB2312" w:cs="Times New Roman"/>
          <w:b/>
          <w:bCs/>
          <w:sz w:val="32"/>
          <w:szCs w:val="32"/>
          <w:highlight w:val="none"/>
          <w:lang w:val="en-US" w:eastAsia="zh-CN" w:bidi="ar-SA"/>
        </w:rPr>
        <w:t>第三十九条</w:t>
      </w:r>
      <w:r>
        <w:rPr>
          <w:rFonts w:hint="eastAsia" w:ascii="Times New Roman" w:hAnsi="Times New Roman" w:eastAsia="仿宋_GB2312" w:cs="Times New Roman"/>
          <w:sz w:val="32"/>
          <w:szCs w:val="32"/>
          <w:highlight w:val="none"/>
          <w:lang w:val="en-US" w:eastAsia="zh-CN" w:bidi="ar-SA"/>
        </w:rPr>
        <w:t xml:space="preserve"> </w:t>
      </w:r>
      <w:r>
        <w:rPr>
          <w:rFonts w:hint="default" w:ascii="Times New Roman" w:hAnsi="Times New Roman" w:eastAsia="仿宋_GB2312" w:cs="Times New Roman"/>
          <w:sz w:val="32"/>
          <w:szCs w:val="32"/>
          <w:highlight w:val="none"/>
          <w:lang w:val="en-US" w:eastAsia="zh-CN" w:bidi="ar-SA"/>
        </w:rPr>
        <w:t>定点评估机构应配合市、县（区）医保经办机构的日常检查、评估结论抽审、考核评价等工作，接受医保行政部门的监督检查，并按规定提供相关材料。</w:t>
      </w:r>
    </w:p>
    <w:p w14:paraId="7DB0C89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rightChars="0" w:firstLine="643" w:firstLineChars="200"/>
        <w:jc w:val="both"/>
        <w:textAlignment w:val="auto"/>
        <w:rPr>
          <w:rFonts w:hint="default" w:ascii="Times New Roman" w:hAnsi="Times New Roman" w:eastAsia="仿宋_GB2312" w:cs="Times New Roman"/>
          <w:sz w:val="32"/>
          <w:szCs w:val="32"/>
          <w:highlight w:val="none"/>
          <w:lang w:val="en-US" w:eastAsia="zh-CN" w:bidi="ar-SA"/>
        </w:rPr>
      </w:pPr>
      <w:r>
        <w:rPr>
          <w:rFonts w:hint="eastAsia" w:ascii="Times New Roman" w:hAnsi="Times New Roman" w:eastAsia="仿宋_GB2312" w:cs="Times New Roman"/>
          <w:b/>
          <w:bCs/>
          <w:sz w:val="32"/>
          <w:szCs w:val="32"/>
          <w:highlight w:val="none"/>
          <w:lang w:val="en-US" w:eastAsia="zh-CN" w:bidi="ar-SA"/>
        </w:rPr>
        <w:t>第四十条</w:t>
      </w:r>
      <w:r>
        <w:rPr>
          <w:rFonts w:hint="eastAsia" w:ascii="Times New Roman" w:hAnsi="Times New Roman" w:eastAsia="仿宋_GB2312" w:cs="Times New Roman"/>
          <w:sz w:val="32"/>
          <w:szCs w:val="32"/>
          <w:highlight w:val="none"/>
          <w:lang w:val="en-US" w:eastAsia="zh-CN" w:bidi="ar-SA"/>
        </w:rPr>
        <w:t xml:space="preserve"> </w:t>
      </w:r>
      <w:r>
        <w:rPr>
          <w:rFonts w:hint="default" w:ascii="Times New Roman" w:hAnsi="Times New Roman" w:eastAsia="仿宋_GB2312" w:cs="Times New Roman"/>
          <w:color w:val="000000"/>
          <w:spacing w:val="0"/>
          <w:sz w:val="32"/>
          <w:szCs w:val="32"/>
          <w:highlight w:val="none"/>
          <w:shd w:val="clear" w:color="auto" w:fill="FFFFFF"/>
          <w:lang w:bidi="ar-SA"/>
        </w:rPr>
        <w:t>定点评估机构不得同时承担依评估结论开展的长期护理服务工作，不得同时承担长护险经办工作。</w:t>
      </w:r>
    </w:p>
    <w:p w14:paraId="587AEB0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rightChars="0" w:firstLine="640" w:firstLineChars="200"/>
        <w:jc w:val="center"/>
        <w:textAlignment w:val="auto"/>
        <w:rPr>
          <w:rFonts w:hint="eastAsia" w:ascii="Times New Roman" w:hAnsi="Times New Roman" w:eastAsia="仿宋_GB2312" w:cs="Times New Roman"/>
          <w:kern w:val="2"/>
          <w:sz w:val="32"/>
          <w:szCs w:val="32"/>
          <w:highlight w:val="none"/>
          <w:lang w:val="en-US" w:eastAsia="zh-CN" w:bidi="ar-SA"/>
        </w:rPr>
      </w:pPr>
      <w:r>
        <w:rPr>
          <w:rFonts w:hint="eastAsia" w:ascii="楷体_GB2312" w:hAnsi="楷体_GB2312" w:eastAsia="楷体_GB2312" w:cs="楷体_GB2312"/>
          <w:sz w:val="32"/>
          <w:szCs w:val="32"/>
          <w:highlight w:val="none"/>
          <w:lang w:eastAsia="zh-CN" w:bidi="ar-SA"/>
        </w:rPr>
        <w:t>第二节</w:t>
      </w:r>
      <w:r>
        <w:rPr>
          <w:rFonts w:hint="eastAsia" w:ascii="楷体_GB2312" w:hAnsi="楷体_GB2312" w:eastAsia="楷体_GB2312" w:cs="楷体_GB2312"/>
          <w:sz w:val="32"/>
          <w:szCs w:val="32"/>
          <w:highlight w:val="none"/>
          <w:lang w:val="en-US" w:eastAsia="zh-CN" w:bidi="ar-SA"/>
        </w:rPr>
        <w:t xml:space="preserve"> 定点长护服务机构</w:t>
      </w:r>
    </w:p>
    <w:p w14:paraId="14AF864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rightChars="0" w:firstLine="643"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b/>
          <w:bCs/>
          <w:kern w:val="2"/>
          <w:sz w:val="32"/>
          <w:szCs w:val="32"/>
          <w:highlight w:val="none"/>
          <w:lang w:val="en-US" w:eastAsia="zh-CN" w:bidi="ar-SA"/>
        </w:rPr>
        <w:t>第四十一条</w:t>
      </w:r>
      <w:r>
        <w:rPr>
          <w:rFonts w:hint="eastAsia" w:ascii="Times New Roman" w:hAnsi="Times New Roman" w:eastAsia="仿宋_GB2312" w:cs="Times New Roman"/>
          <w:kern w:val="2"/>
          <w:sz w:val="32"/>
          <w:szCs w:val="32"/>
          <w:highlight w:val="none"/>
          <w:lang w:val="en-US" w:eastAsia="zh-CN" w:bidi="ar-SA"/>
        </w:rPr>
        <w:t xml:space="preserve"> </w:t>
      </w:r>
      <w:r>
        <w:rPr>
          <w:rFonts w:hint="eastAsia" w:ascii="Times New Roman" w:hAnsi="Times New Roman" w:eastAsia="仿宋_GB2312" w:cs="Times New Roman"/>
          <w:kern w:val="0"/>
          <w:sz w:val="32"/>
          <w:szCs w:val="32"/>
          <w:highlight w:val="none"/>
          <w:lang w:val="en-US" w:eastAsia="zh-CN" w:bidi="ar-SA"/>
        </w:rPr>
        <w:t>定点长护服务机构是指依法成立，经审核合格后与本市医保经办机构签订长护险服务协议，为参保人提供长期护理服务的医疗机构、医养结合机构、养老机构或者业务范围包括养老服务、照护服务或护理服务的其他服务机构</w:t>
      </w:r>
      <w:r>
        <w:rPr>
          <w:rFonts w:hint="eastAsia" w:ascii="Times New Roman" w:hAnsi="Times New Roman" w:eastAsia="仿宋_GB2312" w:cs="Times New Roman"/>
          <w:color w:val="000000"/>
          <w:spacing w:val="0"/>
          <w:sz w:val="32"/>
          <w:szCs w:val="32"/>
          <w:highlight w:val="none"/>
          <w:shd w:val="clear" w:color="auto" w:fill="FFFFFF"/>
          <w:lang w:bidi="ar-SA"/>
        </w:rPr>
        <w:t>。</w:t>
      </w:r>
    </w:p>
    <w:p w14:paraId="07CFE29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rightChars="0" w:firstLine="643"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b/>
          <w:bCs/>
          <w:kern w:val="2"/>
          <w:sz w:val="32"/>
          <w:szCs w:val="32"/>
          <w:highlight w:val="none"/>
          <w:lang w:val="en-US" w:eastAsia="zh-CN" w:bidi="ar-SA"/>
        </w:rPr>
        <w:t xml:space="preserve">第四十二条 </w:t>
      </w:r>
      <w:r>
        <w:rPr>
          <w:rFonts w:hint="eastAsia" w:ascii="Times New Roman" w:hAnsi="Times New Roman" w:eastAsia="仿宋_GB2312" w:cs="Times New Roman"/>
          <w:kern w:val="2"/>
          <w:sz w:val="32"/>
          <w:szCs w:val="32"/>
          <w:highlight w:val="none"/>
          <w:lang w:val="en-US" w:eastAsia="zh-CN" w:bidi="ar-SA"/>
        </w:rPr>
        <w:t>本市符合条件的护理服务机构，可自愿向属地医保经办机构提出长期护理保险定点申请。属地医保经办机构依据国家及省、市相关政策规定，审核纳入定点范围并实行协议管理。各级医保经办机构负责本辖区内定点长护服务机构的确定、协议签订、费用审核结算、监督管理及绩效考核等工作。</w:t>
      </w:r>
    </w:p>
    <w:p w14:paraId="5E07FD8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rightChars="0" w:firstLine="643" w:firstLineChars="200"/>
        <w:jc w:val="both"/>
        <w:textAlignment w:val="auto"/>
        <w:rPr>
          <w:rFonts w:hint="eastAsia" w:ascii="Times New Roman" w:hAnsi="Times New Roman" w:eastAsia="仿宋_GB2312" w:cs="Times New Roman"/>
          <w:b/>
          <w:bCs/>
          <w:kern w:val="2"/>
          <w:sz w:val="32"/>
          <w:szCs w:val="32"/>
          <w:highlight w:val="none"/>
          <w:lang w:val="en-US" w:eastAsia="zh-CN" w:bidi="ar-SA"/>
        </w:rPr>
      </w:pPr>
      <w:r>
        <w:rPr>
          <w:rFonts w:hint="eastAsia" w:ascii="Times New Roman" w:hAnsi="Times New Roman" w:eastAsia="仿宋_GB2312" w:cs="Times New Roman"/>
          <w:b/>
          <w:bCs/>
          <w:kern w:val="2"/>
          <w:sz w:val="32"/>
          <w:szCs w:val="32"/>
          <w:highlight w:val="none"/>
          <w:lang w:val="en-US" w:eastAsia="zh-CN" w:bidi="ar-SA"/>
        </w:rPr>
        <w:t xml:space="preserve">第四十三条 </w:t>
      </w:r>
      <w:r>
        <w:rPr>
          <w:rFonts w:hint="eastAsia" w:ascii="Times New Roman" w:hAnsi="Times New Roman" w:eastAsia="仿宋_GB2312" w:cs="Times New Roman"/>
          <w:sz w:val="32"/>
          <w:szCs w:val="32"/>
          <w:highlight w:val="none"/>
          <w:lang w:val="en-US" w:eastAsia="zh-CN" w:bidi="ar-SA"/>
        </w:rPr>
        <w:t>申请成为定点长护服务机构，应具备《河北省长期护理保险服务机构定点管理实施细则（试行）》规定的业务范围、场地及人员配备、信息系统、管理制度等基本条件。</w:t>
      </w:r>
    </w:p>
    <w:p w14:paraId="58C48B6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rightChars="0" w:firstLine="643" w:firstLineChars="200"/>
        <w:jc w:val="both"/>
        <w:textAlignment w:val="auto"/>
        <w:rPr>
          <w:rFonts w:hint="eastAsia" w:ascii="仿宋_GB2312" w:hAnsi="仿宋_GB2312" w:eastAsia="仿宋_GB2312" w:cs="仿宋_GB2312"/>
          <w:sz w:val="32"/>
          <w:szCs w:val="32"/>
          <w:highlight w:val="none"/>
          <w:lang w:bidi="ar"/>
        </w:rPr>
      </w:pPr>
      <w:r>
        <w:rPr>
          <w:rFonts w:hint="eastAsia" w:ascii="Times New Roman" w:hAnsi="Times New Roman" w:eastAsia="仿宋_GB2312" w:cs="Times New Roman"/>
          <w:b/>
          <w:bCs/>
          <w:sz w:val="32"/>
          <w:szCs w:val="32"/>
          <w:highlight w:val="none"/>
          <w:lang w:eastAsia="zh-CN" w:bidi="ar-SA"/>
        </w:rPr>
        <w:t>第四十四条</w:t>
      </w:r>
      <w:r>
        <w:rPr>
          <w:rFonts w:hint="eastAsia" w:ascii="Times New Roman" w:hAnsi="Times New Roman" w:eastAsia="仿宋_GB2312" w:cs="Times New Roman"/>
          <w:sz w:val="32"/>
          <w:szCs w:val="32"/>
          <w:highlight w:val="none"/>
          <w:lang w:val="en-US" w:eastAsia="zh-CN" w:bidi="ar-SA"/>
        </w:rPr>
        <w:t xml:space="preserve"> </w:t>
      </w:r>
      <w:r>
        <w:rPr>
          <w:rFonts w:hint="eastAsia" w:ascii="仿宋_GB2312" w:hAnsi="仿宋_GB2312" w:eastAsia="仿宋_GB2312" w:cs="仿宋_GB2312"/>
          <w:sz w:val="32"/>
          <w:szCs w:val="32"/>
          <w:highlight w:val="none"/>
          <w:lang w:eastAsia="zh-CN" w:bidi="ar"/>
        </w:rPr>
        <w:t>各级医保行政部门应当根据参保人护理服务需求、基金收支、服务资源等情况，统筹规划辖区内定点长护服务机构配置，加强纳入审核和协议管理。</w:t>
      </w:r>
    </w:p>
    <w:p w14:paraId="1BF5933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rightChars="0" w:firstLine="643"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eastAsia="zh-CN" w:bidi="ar"/>
        </w:rPr>
        <w:t>第四十五条</w:t>
      </w:r>
      <w:r>
        <w:rPr>
          <w:rFonts w:hint="eastAsia" w:ascii="仿宋_GB2312" w:hAnsi="仿宋_GB2312" w:eastAsia="仿宋_GB2312" w:cs="仿宋_GB2312"/>
          <w:sz w:val="32"/>
          <w:szCs w:val="32"/>
          <w:highlight w:val="none"/>
          <w:lang w:val="en-US" w:eastAsia="zh-CN" w:bidi="ar"/>
        </w:rPr>
        <w:t xml:space="preserve"> </w:t>
      </w:r>
      <w:r>
        <w:rPr>
          <w:rFonts w:hint="eastAsia" w:ascii="仿宋_GB2312" w:hAnsi="仿宋_GB2312" w:eastAsia="仿宋_GB2312" w:cs="仿宋_GB2312"/>
          <w:sz w:val="32"/>
          <w:szCs w:val="32"/>
          <w:highlight w:val="none"/>
        </w:rPr>
        <w:t>定点长护服务机构应当制定服务流程和标准，确保护理服务</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一致性和规范性。</w:t>
      </w:r>
    </w:p>
    <w:p w14:paraId="41EC62D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rightChars="0" w:firstLine="643" w:firstLineChars="200"/>
        <w:jc w:val="both"/>
        <w:textAlignment w:val="auto"/>
        <w:rPr>
          <w:rFonts w:hint="default" w:ascii="仿宋_GB2312" w:hAnsi="仿宋_GB2312" w:eastAsia="仿宋_GB2312" w:cs="仿宋_GB2312"/>
          <w:sz w:val="32"/>
          <w:szCs w:val="32"/>
          <w:highlight w:val="none"/>
          <w:lang w:val="en-US" w:eastAsia="zh-CN" w:bidi="ar"/>
        </w:rPr>
      </w:pPr>
      <w:r>
        <w:rPr>
          <w:rFonts w:hint="eastAsia" w:ascii="仿宋_GB2312" w:hAnsi="仿宋_GB2312" w:eastAsia="仿宋_GB2312" w:cs="仿宋_GB2312"/>
          <w:b/>
          <w:bCs/>
          <w:sz w:val="32"/>
          <w:szCs w:val="32"/>
          <w:highlight w:val="none"/>
          <w:lang w:eastAsia="zh-CN" w:bidi="ar"/>
        </w:rPr>
        <w:t>第四十六条</w:t>
      </w:r>
      <w:r>
        <w:rPr>
          <w:rFonts w:hint="eastAsia" w:ascii="仿宋_GB2312" w:hAnsi="仿宋_GB2312" w:eastAsia="仿宋_GB2312" w:cs="仿宋_GB2312"/>
          <w:sz w:val="32"/>
          <w:szCs w:val="32"/>
          <w:highlight w:val="none"/>
          <w:lang w:val="en-US" w:eastAsia="zh-CN" w:bidi="ar"/>
        </w:rPr>
        <w:t xml:space="preserve"> </w:t>
      </w:r>
      <w:r>
        <w:rPr>
          <w:rFonts w:hint="default" w:ascii="仿宋_GB2312" w:hAnsi="仿宋_GB2312" w:eastAsia="仿宋_GB2312" w:cs="仿宋_GB2312"/>
          <w:sz w:val="32"/>
          <w:szCs w:val="32"/>
          <w:highlight w:val="none"/>
          <w:lang w:val="en-US" w:eastAsia="zh-CN" w:bidi="ar"/>
        </w:rPr>
        <w:t>定点长护服务机构全面实行收费公示和费用清单制度。市医保</w:t>
      </w:r>
      <w:r>
        <w:rPr>
          <w:rFonts w:hint="eastAsia" w:ascii="仿宋_GB2312" w:hAnsi="仿宋_GB2312" w:eastAsia="仿宋_GB2312" w:cs="仿宋_GB2312"/>
          <w:sz w:val="32"/>
          <w:szCs w:val="32"/>
          <w:highlight w:val="none"/>
          <w:lang w:val="en-US" w:eastAsia="zh-CN" w:bidi="ar"/>
        </w:rPr>
        <w:t>行政部门应</w:t>
      </w:r>
      <w:r>
        <w:rPr>
          <w:rFonts w:hint="default" w:ascii="仿宋_GB2312" w:hAnsi="仿宋_GB2312" w:eastAsia="仿宋_GB2312" w:cs="仿宋_GB2312"/>
          <w:sz w:val="32"/>
          <w:szCs w:val="32"/>
          <w:highlight w:val="none"/>
          <w:lang w:val="en-US" w:eastAsia="zh-CN" w:bidi="ar"/>
        </w:rPr>
        <w:t>加强指导和定价管理，定点长护服务机构应配合做好服务价格、用量等监测工作。</w:t>
      </w:r>
    </w:p>
    <w:p w14:paraId="10ACFE2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rightChars="0" w:firstLine="643"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b/>
          <w:bCs/>
          <w:kern w:val="2"/>
          <w:sz w:val="32"/>
          <w:szCs w:val="32"/>
          <w:highlight w:val="none"/>
          <w:lang w:val="en-US" w:eastAsia="zh-CN" w:bidi="ar-SA"/>
        </w:rPr>
        <w:t>第四十七条</w:t>
      </w:r>
      <w:r>
        <w:rPr>
          <w:rFonts w:hint="eastAsia" w:ascii="Times New Roman" w:hAnsi="Times New Roman" w:eastAsia="仿宋_GB2312" w:cs="Times New Roman"/>
          <w:kern w:val="2"/>
          <w:sz w:val="32"/>
          <w:szCs w:val="32"/>
          <w:highlight w:val="none"/>
          <w:lang w:val="en-US" w:eastAsia="zh-CN" w:bidi="ar-SA"/>
        </w:rPr>
        <w:t xml:space="preserve"> </w:t>
      </w:r>
      <w:r>
        <w:rPr>
          <w:rFonts w:hint="default" w:ascii="Times New Roman" w:hAnsi="Times New Roman" w:eastAsia="仿宋_GB2312" w:cs="Times New Roman"/>
          <w:kern w:val="2"/>
          <w:sz w:val="32"/>
          <w:szCs w:val="32"/>
          <w:highlight w:val="none"/>
          <w:lang w:val="en-US" w:eastAsia="zh-CN" w:bidi="ar-SA"/>
        </w:rPr>
        <w:t>定点长护服务机构应当配合医保经办机构开展费用审核、服务质量检查、绩效考核等工作，及时提供基金监管及协议管理所需信息。</w:t>
      </w:r>
    </w:p>
    <w:p w14:paraId="5B2D4AD6">
      <w:pPr>
        <w:pStyle w:val="6"/>
        <w:keepNext w:val="0"/>
        <w:keepLines w:val="0"/>
        <w:pageBreakBefore w:val="0"/>
        <w:widowControl/>
        <w:suppressLineNumbers w:val="0"/>
        <w:kinsoku/>
        <w:overflowPunct/>
        <w:topLinePunct w:val="0"/>
        <w:autoSpaceDE/>
        <w:autoSpaceDN/>
        <w:bidi w:val="0"/>
        <w:adjustRightInd/>
        <w:snapToGrid/>
        <w:spacing w:line="520" w:lineRule="exact"/>
        <w:ind w:right="0" w:rightChars="0" w:firstLine="643"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b/>
          <w:bCs/>
          <w:kern w:val="2"/>
          <w:sz w:val="32"/>
          <w:szCs w:val="32"/>
          <w:highlight w:val="none"/>
          <w:lang w:val="en-US" w:eastAsia="zh-CN" w:bidi="ar-SA"/>
        </w:rPr>
        <w:t>第四十八条</w:t>
      </w:r>
      <w:r>
        <w:rPr>
          <w:rFonts w:hint="eastAsia" w:ascii="Times New Roman" w:hAnsi="Times New Roman" w:eastAsia="仿宋_GB2312" w:cs="Times New Roman"/>
          <w:kern w:val="2"/>
          <w:sz w:val="32"/>
          <w:szCs w:val="32"/>
          <w:highlight w:val="none"/>
          <w:lang w:val="en-US" w:eastAsia="zh-CN" w:bidi="ar-SA"/>
        </w:rPr>
        <w:t xml:space="preserve"> 定点长护服务机构应当按要求参加医保部门组织的长护险政策宣传、业务培训等相关活动。</w:t>
      </w:r>
    </w:p>
    <w:p w14:paraId="664FFCA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right="0" w:rightChars="0"/>
        <w:jc w:val="center"/>
        <w:textAlignment w:val="auto"/>
        <w:rPr>
          <w:rFonts w:hint="default"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第六章 基金管理</w:t>
      </w:r>
    </w:p>
    <w:p w14:paraId="3796F9A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rightChars="0" w:firstLine="643" w:firstLineChars="200"/>
        <w:jc w:val="both"/>
        <w:textAlignment w:val="auto"/>
        <w:rPr>
          <w:rFonts w:hint="eastAsia" w:ascii="Times New Roman" w:hAnsi="Times New Roman" w:eastAsia="仿宋_GB2312" w:cs="Times New Roman"/>
          <w:b/>
          <w:bCs/>
          <w:kern w:val="2"/>
          <w:sz w:val="32"/>
          <w:szCs w:val="32"/>
          <w:highlight w:val="none"/>
          <w:lang w:val="en-US" w:eastAsia="zh-CN" w:bidi="ar-SA"/>
        </w:rPr>
      </w:pPr>
      <w:r>
        <w:rPr>
          <w:rFonts w:hint="eastAsia" w:ascii="Times New Roman" w:hAnsi="Times New Roman" w:eastAsia="仿宋_GB2312" w:cs="Times New Roman"/>
          <w:b/>
          <w:bCs/>
          <w:kern w:val="2"/>
          <w:sz w:val="32"/>
          <w:szCs w:val="32"/>
          <w:highlight w:val="none"/>
          <w:lang w:val="en-US" w:eastAsia="zh-CN" w:bidi="ar-SA"/>
        </w:rPr>
        <w:t>第四十九条</w:t>
      </w:r>
      <w:r>
        <w:rPr>
          <w:rFonts w:hint="eastAsia" w:ascii="Times New Roman" w:hAnsi="Times New Roman" w:eastAsia="仿宋_GB2312" w:cs="Times New Roman"/>
          <w:kern w:val="2"/>
          <w:sz w:val="32"/>
          <w:szCs w:val="32"/>
          <w:highlight w:val="none"/>
          <w:lang w:val="en-US" w:eastAsia="zh-CN" w:bidi="ar-SA"/>
        </w:rPr>
        <w:t xml:space="preserve"> 长护险执行国家统一的基金财务制度、会计制度和基金预决算管理制度。医保经办机构严格按照相关制度进行财务管理，基金独立核算，纳入财政专户，实行收支两条线管理，任何单位和个人不得侵占挪用。</w:t>
      </w:r>
    </w:p>
    <w:p w14:paraId="05ADC93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right="0" w:rightChars="0" w:firstLine="643" w:firstLineChars="200"/>
        <w:jc w:val="both"/>
        <w:textAlignment w:val="auto"/>
        <w:rPr>
          <w:rFonts w:hint="eastAsia" w:ascii="Times New Roman" w:hAnsi="Times New Roman" w:eastAsia="仿宋_GB2312" w:cs="Times New Roman"/>
          <w:color w:val="auto"/>
          <w:sz w:val="32"/>
          <w:szCs w:val="32"/>
          <w:highlight w:val="none"/>
          <w:lang w:eastAsia="zh-CN" w:bidi="ar-SA"/>
        </w:rPr>
      </w:pPr>
      <w:r>
        <w:rPr>
          <w:rFonts w:hint="eastAsia" w:ascii="Times New Roman" w:hAnsi="Times New Roman" w:eastAsia="仿宋_GB2312" w:cs="Times New Roman"/>
          <w:b/>
          <w:bCs/>
          <w:kern w:val="2"/>
          <w:sz w:val="32"/>
          <w:szCs w:val="32"/>
          <w:highlight w:val="none"/>
          <w:lang w:val="en-US" w:eastAsia="zh-CN" w:bidi="ar-SA"/>
        </w:rPr>
        <w:t>第五十条</w:t>
      </w:r>
      <w:r>
        <w:rPr>
          <w:rFonts w:hint="eastAsia" w:ascii="Times New Roman" w:hAnsi="Times New Roman" w:eastAsia="仿宋_GB2312" w:cs="Times New Roman"/>
          <w:kern w:val="2"/>
          <w:sz w:val="32"/>
          <w:szCs w:val="32"/>
          <w:highlight w:val="none"/>
          <w:lang w:val="en-US" w:eastAsia="zh-CN" w:bidi="ar-SA"/>
        </w:rPr>
        <w:t xml:space="preserve"> </w:t>
      </w:r>
      <w:bookmarkStart w:id="2" w:name="OLE_LINK1"/>
      <w:r>
        <w:rPr>
          <w:rFonts w:hint="eastAsia" w:ascii="Times New Roman" w:hAnsi="Times New Roman" w:eastAsia="仿宋_GB2312" w:cs="Times New Roman"/>
          <w:color w:val="auto"/>
          <w:sz w:val="32"/>
          <w:szCs w:val="32"/>
          <w:highlight w:val="none"/>
          <w:lang w:eastAsia="zh-CN" w:bidi="ar-SA"/>
        </w:rPr>
        <w:t>市财政部门设立长护险基金财政专户，用于归集税务征缴收入、各级财政补助收入、政府资助收入、利息收入以及其他应纳入的收入。</w:t>
      </w:r>
    </w:p>
    <w:p w14:paraId="7C21798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eastAsia" w:ascii="Times New Roman" w:hAnsi="Times New Roman" w:eastAsia="仿宋_GB2312" w:cs="Times New Roman"/>
          <w:color w:val="auto"/>
          <w:sz w:val="32"/>
          <w:szCs w:val="32"/>
          <w:highlight w:val="none"/>
          <w:lang w:eastAsia="zh-CN" w:bidi="ar-SA"/>
        </w:rPr>
      </w:pPr>
      <w:r>
        <w:rPr>
          <w:rFonts w:hint="eastAsia" w:ascii="Times New Roman" w:hAnsi="Times New Roman" w:eastAsia="仿宋_GB2312" w:cs="Times New Roman"/>
          <w:color w:val="auto"/>
          <w:sz w:val="32"/>
          <w:szCs w:val="32"/>
          <w:highlight w:val="none"/>
          <w:lang w:eastAsia="zh-CN" w:bidi="ar-SA"/>
        </w:rPr>
        <w:t>市医保经办机构设立基金支出户，用于支付基金支出款项、向各级经办机构支出户拨付资金、接收财政专户拨入基金、暂存账户利息、原渠道退回基金等，账户利息按季度上缴至市级财政专户。</w:t>
      </w:r>
    </w:p>
    <w:bookmarkEnd w:id="2"/>
    <w:p w14:paraId="654AEE7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eastAsia" w:ascii="Times New Roman" w:hAnsi="Times New Roman" w:eastAsia="仿宋_GB2312" w:cs="Times New Roman"/>
          <w:color w:val="auto"/>
          <w:sz w:val="32"/>
          <w:szCs w:val="32"/>
          <w:highlight w:val="none"/>
          <w:lang w:eastAsia="zh-CN" w:bidi="ar-SA"/>
        </w:rPr>
      </w:pPr>
      <w:r>
        <w:rPr>
          <w:rFonts w:hint="eastAsia" w:ascii="Times New Roman" w:hAnsi="Times New Roman" w:eastAsia="仿宋_GB2312" w:cs="Times New Roman"/>
          <w:color w:val="auto"/>
          <w:sz w:val="32"/>
          <w:szCs w:val="32"/>
          <w:highlight w:val="none"/>
          <w:lang w:eastAsia="zh-CN" w:bidi="ar-SA"/>
        </w:rPr>
        <w:t>县（区）医保经办机构设立长护险基金支出户，用于接收市医保经办机构按月拨入的结算资金、暂存账户利息、支付定点长护服务机构费用等，利息按季度上缴至市级财政专户，账户余额年末全部上缴至市级财政专户。</w:t>
      </w:r>
    </w:p>
    <w:p w14:paraId="005018C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right="0" w:rightChars="0" w:firstLine="643" w:firstLineChars="200"/>
        <w:jc w:val="both"/>
        <w:textAlignment w:val="auto"/>
        <w:rPr>
          <w:rFonts w:hint="eastAsia" w:ascii="Times New Roman" w:hAnsi="Times New Roman" w:eastAsia="仿宋_GB2312" w:cs="Times New Roman"/>
          <w:color w:val="auto"/>
          <w:sz w:val="32"/>
          <w:szCs w:val="32"/>
          <w:highlight w:val="none"/>
          <w:lang w:val="en-US" w:eastAsia="zh-CN" w:bidi="ar-SA"/>
        </w:rPr>
      </w:pPr>
      <w:r>
        <w:rPr>
          <w:rFonts w:hint="eastAsia" w:ascii="Times New Roman" w:hAnsi="Times New Roman" w:eastAsia="仿宋_GB2312" w:cs="Times New Roman"/>
          <w:b/>
          <w:bCs/>
          <w:kern w:val="2"/>
          <w:sz w:val="32"/>
          <w:szCs w:val="32"/>
          <w:highlight w:val="none"/>
          <w:lang w:val="en-US" w:eastAsia="zh-CN" w:bidi="ar-SA"/>
        </w:rPr>
        <w:t xml:space="preserve">第五十一条 </w:t>
      </w:r>
      <w:r>
        <w:rPr>
          <w:rFonts w:hint="eastAsia" w:ascii="Times New Roman" w:hAnsi="Times New Roman" w:eastAsia="仿宋_GB2312" w:cs="Times New Roman"/>
          <w:color w:val="auto"/>
          <w:sz w:val="32"/>
          <w:szCs w:val="32"/>
          <w:highlight w:val="none"/>
          <w:lang w:val="en-US" w:eastAsia="zh-CN" w:bidi="ar-SA"/>
        </w:rPr>
        <w:t>基金市级统收。全市各级税务部门征收的长护险基金统一缴入市级国库，市财政部门按月将国库收到的保费收入转入市级财政专户；各级财政安排的长护险补助资金、政府资助资金及</w:t>
      </w:r>
      <w:r>
        <w:rPr>
          <w:rFonts w:hint="eastAsia" w:ascii="Times New Roman" w:hAnsi="Times New Roman" w:eastAsia="仿宋_GB2312" w:cs="Times New Roman"/>
          <w:kern w:val="2"/>
          <w:sz w:val="32"/>
          <w:szCs w:val="32"/>
          <w:highlight w:val="none"/>
          <w:lang w:val="en-US" w:eastAsia="zh-CN" w:bidi="ar-SA"/>
        </w:rPr>
        <w:t>社会捐助资金</w:t>
      </w:r>
      <w:r>
        <w:rPr>
          <w:rFonts w:hint="eastAsia" w:ascii="Times New Roman" w:hAnsi="Times New Roman" w:eastAsia="仿宋_GB2312" w:cs="Times New Roman"/>
          <w:color w:val="auto"/>
          <w:sz w:val="32"/>
          <w:szCs w:val="32"/>
          <w:highlight w:val="none"/>
          <w:lang w:val="en-US" w:eastAsia="zh-CN" w:bidi="ar-SA"/>
        </w:rPr>
        <w:t>直接缴入市级财政专户。</w:t>
      </w:r>
    </w:p>
    <w:p w14:paraId="6C0A585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right="0" w:rightChars="0" w:firstLine="643" w:firstLineChars="200"/>
        <w:jc w:val="both"/>
        <w:textAlignment w:val="auto"/>
        <w:rPr>
          <w:rFonts w:hint="eastAsia" w:ascii="Times New Roman" w:hAnsi="Times New Roman" w:eastAsia="仿宋_GB2312" w:cs="Times New Roman"/>
          <w:color w:val="auto"/>
          <w:sz w:val="32"/>
          <w:szCs w:val="32"/>
          <w:highlight w:val="none"/>
          <w:lang w:val="en-US" w:eastAsia="zh-CN" w:bidi="ar-SA"/>
        </w:rPr>
      </w:pPr>
      <w:r>
        <w:rPr>
          <w:rFonts w:hint="eastAsia" w:ascii="Times New Roman" w:hAnsi="Times New Roman" w:eastAsia="仿宋_GB2312" w:cs="Times New Roman"/>
          <w:b/>
          <w:bCs/>
          <w:kern w:val="2"/>
          <w:sz w:val="32"/>
          <w:szCs w:val="32"/>
          <w:highlight w:val="none"/>
          <w:lang w:val="en-US" w:eastAsia="zh-CN" w:bidi="ar-SA"/>
        </w:rPr>
        <w:t xml:space="preserve">第五十二条 </w:t>
      </w:r>
      <w:r>
        <w:rPr>
          <w:rFonts w:hint="eastAsia" w:ascii="Times New Roman" w:hAnsi="Times New Roman" w:eastAsia="仿宋_GB2312" w:cs="Times New Roman"/>
          <w:color w:val="auto"/>
          <w:sz w:val="32"/>
          <w:szCs w:val="32"/>
          <w:highlight w:val="none"/>
          <w:lang w:val="en-US" w:eastAsia="zh-CN" w:bidi="ar-SA"/>
        </w:rPr>
        <w:t>基金市级统支。市医保经办机构统一核定全市长护险基金支出用款计划，市财政部门统一安排资金拨付，基金支出由市医保经办机构支出户拨付到各县（区）支出户。市医保经办机构次月完成向市财政部门的结报支出。</w:t>
      </w:r>
    </w:p>
    <w:p w14:paraId="427F4BA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rightChars="0" w:firstLine="643"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b/>
          <w:bCs/>
          <w:kern w:val="2"/>
          <w:sz w:val="32"/>
          <w:szCs w:val="32"/>
          <w:highlight w:val="none"/>
          <w:lang w:val="en-US" w:eastAsia="zh-CN" w:bidi="ar-SA"/>
        </w:rPr>
        <w:t xml:space="preserve">第五十三条 </w:t>
      </w:r>
      <w:r>
        <w:rPr>
          <w:rFonts w:hint="eastAsia" w:ascii="Times New Roman" w:hAnsi="Times New Roman" w:eastAsia="仿宋_GB2312" w:cs="Times New Roman"/>
          <w:kern w:val="2"/>
          <w:sz w:val="32"/>
          <w:szCs w:val="32"/>
          <w:highlight w:val="none"/>
          <w:lang w:val="en-US" w:eastAsia="zh-CN" w:bidi="ar-SA"/>
        </w:rPr>
        <w:t>市医保经办机构按照“以收定支、收支平衡”的原则编制长护险基金年度预算，健全预算绩效管理体制。将长护险基金收支纳入社会保险基金预算编制范围，强化预算刚性约束。</w:t>
      </w:r>
    </w:p>
    <w:p w14:paraId="37D1229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rightChars="0" w:firstLine="643" w:firstLineChars="200"/>
        <w:jc w:val="both"/>
        <w:textAlignment w:val="auto"/>
        <w:rPr>
          <w:rFonts w:hint="default" w:ascii="Times New Roman" w:hAnsi="Times New Roman" w:eastAsia="仿宋_GB2312" w:cs="Times New Roman"/>
          <w:sz w:val="32"/>
          <w:szCs w:val="32"/>
          <w:highlight w:val="none"/>
          <w:lang w:val="en-US" w:eastAsia="zh-CN" w:bidi="ar-SA"/>
        </w:rPr>
      </w:pPr>
      <w:r>
        <w:rPr>
          <w:rFonts w:hint="eastAsia" w:ascii="Times New Roman" w:hAnsi="Times New Roman" w:eastAsia="仿宋_GB2312" w:cs="Times New Roman"/>
          <w:b/>
          <w:bCs/>
          <w:kern w:val="2"/>
          <w:sz w:val="32"/>
          <w:szCs w:val="32"/>
          <w:highlight w:val="none"/>
          <w:lang w:val="en-US" w:eastAsia="zh-CN" w:bidi="ar-SA"/>
        </w:rPr>
        <w:t>第五十四条</w:t>
      </w:r>
      <w:r>
        <w:rPr>
          <w:rFonts w:hint="eastAsia" w:ascii="Times New Roman" w:hAnsi="Times New Roman" w:eastAsia="仿宋_GB2312" w:cs="Times New Roman"/>
          <w:kern w:val="2"/>
          <w:sz w:val="32"/>
          <w:szCs w:val="32"/>
          <w:highlight w:val="none"/>
          <w:lang w:val="en-US" w:eastAsia="zh-CN" w:bidi="ar-SA"/>
        </w:rPr>
        <w:t xml:space="preserve"> 定点评估机构应于每月初报送上月评估费用清单（或规范票据），并对其真实性负责；市医保经办机构按照评估费用标准生成结算数据，经初审、复核后按协议约定拨付费用。</w:t>
      </w:r>
    </w:p>
    <w:p w14:paraId="5F573B8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rightChars="0" w:firstLine="643" w:firstLineChars="200"/>
        <w:jc w:val="both"/>
        <w:textAlignment w:val="auto"/>
        <w:rPr>
          <w:rFonts w:hint="default" w:ascii="Times New Roman" w:hAnsi="Times New Roman" w:eastAsia="仿宋_GB2312" w:cs="Times New Roman"/>
          <w:sz w:val="32"/>
          <w:szCs w:val="32"/>
          <w:highlight w:val="none"/>
          <w:lang w:val="en-US" w:eastAsia="zh-CN" w:bidi="ar-SA"/>
        </w:rPr>
      </w:pPr>
      <w:r>
        <w:rPr>
          <w:rFonts w:hint="eastAsia" w:ascii="Times New Roman" w:hAnsi="Times New Roman" w:eastAsia="仿宋_GB2312" w:cs="Times New Roman"/>
          <w:b/>
          <w:bCs/>
          <w:sz w:val="32"/>
          <w:szCs w:val="32"/>
          <w:highlight w:val="none"/>
          <w:lang w:val="en-US" w:eastAsia="zh-CN" w:bidi="ar-SA"/>
        </w:rPr>
        <w:t>第五十五条</w:t>
      </w:r>
      <w:r>
        <w:rPr>
          <w:rFonts w:hint="eastAsia" w:ascii="Times New Roman" w:hAnsi="Times New Roman" w:eastAsia="仿宋_GB2312" w:cs="Times New Roman"/>
          <w:sz w:val="32"/>
          <w:szCs w:val="32"/>
          <w:highlight w:val="none"/>
          <w:lang w:val="en-US" w:eastAsia="zh-CN" w:bidi="ar-SA"/>
        </w:rPr>
        <w:t xml:space="preserve"> 定点长护服务机构应于每月初报送上月护理服务清单（或规范票据）、服务项目费用结算明细及护理人员等信息，并对其真实性负责；属地经办机构依据服务协议生成结算数据，经初审、复核后按协议约定拨付费用。</w:t>
      </w:r>
    </w:p>
    <w:p w14:paraId="6C4296B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rightChars="0" w:firstLine="643" w:firstLineChars="200"/>
        <w:jc w:val="both"/>
        <w:textAlignment w:val="auto"/>
        <w:rPr>
          <w:rFonts w:hint="eastAsia" w:ascii="Times New Roman" w:hAnsi="Times New Roman" w:eastAsia="仿宋_GB2312" w:cs="Times New Roman"/>
          <w:sz w:val="32"/>
          <w:szCs w:val="32"/>
          <w:highlight w:val="none"/>
          <w:lang w:val="en-US" w:eastAsia="zh-CN" w:bidi="ar-SA"/>
        </w:rPr>
      </w:pPr>
      <w:r>
        <w:rPr>
          <w:rFonts w:hint="eastAsia" w:ascii="Times New Roman" w:hAnsi="Times New Roman" w:eastAsia="仿宋_GB2312" w:cs="Times New Roman"/>
          <w:b/>
          <w:bCs/>
          <w:sz w:val="32"/>
          <w:szCs w:val="32"/>
          <w:highlight w:val="none"/>
          <w:lang w:val="en-US" w:eastAsia="zh-CN" w:bidi="ar-SA"/>
        </w:rPr>
        <w:t>第五十六条</w:t>
      </w:r>
      <w:r>
        <w:rPr>
          <w:rFonts w:hint="eastAsia" w:ascii="Times New Roman" w:hAnsi="Times New Roman" w:eastAsia="仿宋_GB2312" w:cs="Times New Roman"/>
          <w:sz w:val="32"/>
          <w:szCs w:val="32"/>
          <w:highlight w:val="none"/>
          <w:lang w:val="en-US" w:eastAsia="zh-CN" w:bidi="ar-SA"/>
        </w:rPr>
        <w:t xml:space="preserve"> 医保经办机构应当明确费用审核、结算拨付等岗位责任，建立基金管理运行分析制度，定期对基金收支情况进行统计分析。</w:t>
      </w:r>
    </w:p>
    <w:p w14:paraId="0E079E3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rightChars="0" w:firstLine="643" w:firstLineChars="200"/>
        <w:jc w:val="both"/>
        <w:textAlignment w:val="auto"/>
        <w:rPr>
          <w:rFonts w:hint="default" w:ascii="Times New Roman" w:hAnsi="Times New Roman" w:eastAsia="仿宋_GB2312" w:cs="Times New Roman"/>
          <w:sz w:val="32"/>
          <w:szCs w:val="32"/>
          <w:highlight w:val="none"/>
          <w:lang w:bidi="ar-SA"/>
        </w:rPr>
      </w:pPr>
      <w:r>
        <w:rPr>
          <w:rFonts w:hint="eastAsia" w:ascii="Times New Roman" w:hAnsi="Times New Roman" w:eastAsia="仿宋_GB2312" w:cs="Times New Roman"/>
          <w:b/>
          <w:bCs/>
          <w:sz w:val="32"/>
          <w:szCs w:val="32"/>
          <w:highlight w:val="none"/>
          <w:lang w:eastAsia="zh-CN" w:bidi="ar-SA"/>
        </w:rPr>
        <w:t>第五十七条</w:t>
      </w:r>
      <w:r>
        <w:rPr>
          <w:rFonts w:hint="eastAsia" w:ascii="Times New Roman" w:hAnsi="Times New Roman" w:eastAsia="仿宋_GB2312" w:cs="Times New Roman"/>
          <w:b/>
          <w:bCs/>
          <w:sz w:val="32"/>
          <w:szCs w:val="32"/>
          <w:highlight w:val="none"/>
          <w:lang w:val="en-US" w:eastAsia="zh-CN" w:bidi="ar-SA"/>
        </w:rPr>
        <w:t xml:space="preserve"> </w:t>
      </w:r>
      <w:r>
        <w:rPr>
          <w:rFonts w:hint="eastAsia" w:ascii="Times New Roman" w:hAnsi="Times New Roman" w:eastAsia="仿宋_GB2312" w:cs="Times New Roman"/>
          <w:b w:val="0"/>
          <w:bCs w:val="0"/>
          <w:sz w:val="32"/>
          <w:szCs w:val="32"/>
          <w:highlight w:val="none"/>
          <w:lang w:val="en-US" w:eastAsia="zh-CN" w:bidi="ar-SA"/>
        </w:rPr>
        <w:t>医保经办机构应当落实长护险支付政策，强化基金支出管理，通过智能审核、实时监控等方式及时审核相关费用，及时拨付符合规定的费用。</w:t>
      </w:r>
    </w:p>
    <w:p w14:paraId="44ACE14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rightChars="0" w:firstLine="643"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Times New Roman" w:hAnsi="Times New Roman" w:eastAsia="仿宋_GB2312" w:cs="Times New Roman"/>
          <w:b/>
          <w:bCs/>
          <w:sz w:val="32"/>
          <w:szCs w:val="32"/>
          <w:highlight w:val="none"/>
          <w:lang w:eastAsia="zh-CN" w:bidi="ar-SA"/>
        </w:rPr>
        <w:t>第五十八条</w:t>
      </w:r>
      <w:r>
        <w:rPr>
          <w:rFonts w:hint="eastAsia" w:ascii="Times New Roman" w:hAnsi="Times New Roman" w:eastAsia="仿宋_GB2312" w:cs="Times New Roman"/>
          <w:sz w:val="32"/>
          <w:szCs w:val="32"/>
          <w:highlight w:val="none"/>
          <w:lang w:val="en-US" w:eastAsia="zh-CN" w:bidi="ar-SA"/>
        </w:rPr>
        <w:t xml:space="preserve"> 市医保局会同市财政局建立长护险基金收支预警机制。当基金出现收不抵支，或累计结余低于全市6个月基金月均支付额时，应及时向市政府报告，并采取调整筹资标准、加大财政补助、优化待遇支付等措施，确保基金收支平衡与安全平稳运行。</w:t>
      </w:r>
    </w:p>
    <w:p w14:paraId="74A1F6E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right="0" w:rightChars="0"/>
        <w:jc w:val="center"/>
        <w:textAlignment w:val="auto"/>
        <w:rPr>
          <w:rFonts w:hint="eastAsia" w:ascii="Times New Roman" w:hAnsi="Times New Roman" w:eastAsia="仿宋_GB2312" w:cs="Times New Roman"/>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第七章 经办管理</w:t>
      </w:r>
    </w:p>
    <w:p w14:paraId="7A635B43">
      <w:pPr>
        <w:pStyle w:val="6"/>
        <w:keepNext w:val="0"/>
        <w:keepLines w:val="0"/>
        <w:pageBreakBefore w:val="0"/>
        <w:widowControl/>
        <w:suppressLineNumbers w:val="0"/>
        <w:kinsoku/>
        <w:wordWrap/>
        <w:overflowPunct/>
        <w:topLinePunct w:val="0"/>
        <w:autoSpaceDE/>
        <w:autoSpaceDN/>
        <w:bidi w:val="0"/>
        <w:adjustRightInd/>
        <w:snapToGrid/>
        <w:spacing w:line="520" w:lineRule="exact"/>
        <w:ind w:right="0" w:rightChars="0" w:firstLine="643"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b/>
          <w:bCs/>
          <w:kern w:val="2"/>
          <w:sz w:val="32"/>
          <w:szCs w:val="32"/>
          <w:highlight w:val="none"/>
          <w:lang w:val="en-US" w:eastAsia="zh-CN" w:bidi="ar-SA"/>
        </w:rPr>
        <w:t>第五十九条</w:t>
      </w:r>
      <w:r>
        <w:rPr>
          <w:rFonts w:hint="eastAsia" w:ascii="Times New Roman" w:hAnsi="Times New Roman" w:eastAsia="仿宋_GB2312" w:cs="Times New Roman"/>
          <w:kern w:val="2"/>
          <w:sz w:val="32"/>
          <w:szCs w:val="32"/>
          <w:highlight w:val="none"/>
          <w:lang w:val="en-US" w:eastAsia="zh-CN" w:bidi="ar-SA"/>
        </w:rPr>
        <w:t xml:space="preserve"> 各级医保经办机构应规范服务管理行为，加强内部管理，健全内控制度，明确岗位职责，建立风险防控机制。</w:t>
      </w:r>
    </w:p>
    <w:p w14:paraId="760E152C">
      <w:pPr>
        <w:pStyle w:val="6"/>
        <w:keepNext w:val="0"/>
        <w:keepLines w:val="0"/>
        <w:pageBreakBefore w:val="0"/>
        <w:widowControl/>
        <w:suppressLineNumbers w:val="0"/>
        <w:kinsoku/>
        <w:wordWrap/>
        <w:overflowPunct/>
        <w:topLinePunct w:val="0"/>
        <w:autoSpaceDE/>
        <w:autoSpaceDN/>
        <w:bidi w:val="0"/>
        <w:adjustRightInd/>
        <w:snapToGrid/>
        <w:spacing w:line="520" w:lineRule="exact"/>
        <w:ind w:right="0" w:rightChars="0" w:firstLine="643"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b/>
          <w:bCs/>
          <w:kern w:val="2"/>
          <w:sz w:val="32"/>
          <w:szCs w:val="32"/>
          <w:highlight w:val="none"/>
          <w:lang w:val="en-US" w:eastAsia="zh-CN" w:bidi="ar-SA"/>
        </w:rPr>
        <w:t>第六十条</w:t>
      </w:r>
      <w:r>
        <w:rPr>
          <w:rFonts w:hint="eastAsia" w:ascii="Times New Roman" w:hAnsi="Times New Roman" w:eastAsia="仿宋_GB2312" w:cs="Times New Roman"/>
          <w:kern w:val="2"/>
          <w:sz w:val="32"/>
          <w:szCs w:val="32"/>
          <w:highlight w:val="none"/>
          <w:lang w:val="en-US" w:eastAsia="zh-CN" w:bidi="ar-SA"/>
        </w:rPr>
        <w:t xml:space="preserve"> 市医保经办机构负责全市长护险经办工作的统筹管理与业务指导，主要职责包括：</w:t>
      </w:r>
    </w:p>
    <w:p w14:paraId="010CA8CA">
      <w:pPr>
        <w:pStyle w:val="6"/>
        <w:keepNext w:val="0"/>
        <w:keepLines w:val="0"/>
        <w:pageBreakBefore w:val="0"/>
        <w:widowControl/>
        <w:suppressLineNumbers w:val="0"/>
        <w:kinsoku/>
        <w:wordWrap/>
        <w:overflowPunct/>
        <w:topLinePunct w:val="0"/>
        <w:autoSpaceDE/>
        <w:autoSpaceDN/>
        <w:bidi w:val="0"/>
        <w:adjustRightInd/>
        <w:snapToGrid/>
        <w:spacing w:line="520" w:lineRule="exact"/>
        <w:ind w:right="0" w:rightChars="0" w:firstLine="640"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（一）指导各县（区）医保经办机构开展经办服务管理工作，规范全市经办服务标准；</w:t>
      </w:r>
    </w:p>
    <w:p w14:paraId="5638FBF8">
      <w:pPr>
        <w:pStyle w:val="6"/>
        <w:keepNext w:val="0"/>
        <w:keepLines w:val="0"/>
        <w:pageBreakBefore w:val="0"/>
        <w:widowControl/>
        <w:suppressLineNumbers w:val="0"/>
        <w:kinsoku/>
        <w:wordWrap/>
        <w:overflowPunct/>
        <w:topLinePunct w:val="0"/>
        <w:autoSpaceDE/>
        <w:autoSpaceDN/>
        <w:bidi w:val="0"/>
        <w:adjustRightInd/>
        <w:snapToGrid/>
        <w:spacing w:line="520" w:lineRule="exact"/>
        <w:ind w:right="0" w:rightChars="0" w:firstLine="640"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（二）推进全市长护险基金征缴相关工作，配合税务部门做好保费征收衔接；</w:t>
      </w:r>
    </w:p>
    <w:p w14:paraId="60666C51">
      <w:pPr>
        <w:pStyle w:val="6"/>
        <w:keepNext w:val="0"/>
        <w:keepLines w:val="0"/>
        <w:pageBreakBefore w:val="0"/>
        <w:widowControl/>
        <w:suppressLineNumbers w:val="0"/>
        <w:kinsoku/>
        <w:wordWrap/>
        <w:overflowPunct/>
        <w:topLinePunct w:val="0"/>
        <w:autoSpaceDE/>
        <w:autoSpaceDN/>
        <w:bidi w:val="0"/>
        <w:adjustRightInd/>
        <w:snapToGrid/>
        <w:spacing w:line="520" w:lineRule="exact"/>
        <w:ind w:right="0" w:rightChars="0" w:firstLine="640"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（三）负责市本级参保登记、信息变更、权益记录等管理工作；</w:t>
      </w:r>
    </w:p>
    <w:p w14:paraId="75FE7CF2">
      <w:pPr>
        <w:pStyle w:val="6"/>
        <w:keepNext w:val="0"/>
        <w:keepLines w:val="0"/>
        <w:pageBreakBefore w:val="0"/>
        <w:widowControl/>
        <w:suppressLineNumbers w:val="0"/>
        <w:kinsoku/>
        <w:wordWrap/>
        <w:overflowPunct/>
        <w:topLinePunct w:val="0"/>
        <w:autoSpaceDE/>
        <w:autoSpaceDN/>
        <w:bidi w:val="0"/>
        <w:adjustRightInd/>
        <w:snapToGrid/>
        <w:spacing w:line="520" w:lineRule="exact"/>
        <w:ind w:right="0" w:rightChars="0" w:firstLine="640"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（四）负责失能等级评估申请受理、材料初审、评估派单、结论复核、结论书出具及护理服务计划备案审核等；</w:t>
      </w:r>
    </w:p>
    <w:p w14:paraId="1F598325">
      <w:pPr>
        <w:pStyle w:val="6"/>
        <w:keepNext w:val="0"/>
        <w:keepLines w:val="0"/>
        <w:pageBreakBefore w:val="0"/>
        <w:widowControl/>
        <w:suppressLineNumbers w:val="0"/>
        <w:kinsoku/>
        <w:wordWrap/>
        <w:overflowPunct/>
        <w:topLinePunct w:val="0"/>
        <w:autoSpaceDE/>
        <w:autoSpaceDN/>
        <w:bidi w:val="0"/>
        <w:adjustRightInd/>
        <w:snapToGrid/>
        <w:spacing w:line="520" w:lineRule="exact"/>
        <w:ind w:right="0" w:rightChars="0" w:firstLine="640"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（五）负责初次评估、争议复评、状态变更评估、抽查复评及期末评估等组织实施；</w:t>
      </w:r>
    </w:p>
    <w:p w14:paraId="62512E9B">
      <w:pPr>
        <w:pStyle w:val="6"/>
        <w:keepNext w:val="0"/>
        <w:keepLines w:val="0"/>
        <w:pageBreakBefore w:val="0"/>
        <w:widowControl/>
        <w:suppressLineNumbers w:val="0"/>
        <w:kinsoku/>
        <w:wordWrap/>
        <w:overflowPunct/>
        <w:topLinePunct w:val="0"/>
        <w:autoSpaceDE/>
        <w:autoSpaceDN/>
        <w:bidi w:val="0"/>
        <w:adjustRightInd/>
        <w:snapToGrid/>
        <w:spacing w:line="520" w:lineRule="exact"/>
        <w:ind w:right="0" w:rightChars="0" w:firstLine="640"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（六）负责市本级长护险结算申报、费用审核、基金结算等工作；</w:t>
      </w:r>
    </w:p>
    <w:p w14:paraId="76F3C6D0">
      <w:pPr>
        <w:pStyle w:val="6"/>
        <w:keepNext w:val="0"/>
        <w:keepLines w:val="0"/>
        <w:pageBreakBefore w:val="0"/>
        <w:widowControl/>
        <w:suppressLineNumbers w:val="0"/>
        <w:kinsoku/>
        <w:wordWrap/>
        <w:overflowPunct/>
        <w:topLinePunct w:val="0"/>
        <w:autoSpaceDE/>
        <w:autoSpaceDN/>
        <w:bidi w:val="0"/>
        <w:adjustRightInd/>
        <w:snapToGrid/>
        <w:spacing w:line="520" w:lineRule="exact"/>
        <w:ind w:right="0" w:rightChars="0" w:firstLine="640"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（七）负责全市定点评估机构、市本级定点长护服务机构的遴选确定、协议管理、检查核查、考核评价及费用审核结算工作，推进长护险信息系统建设与运维；</w:t>
      </w:r>
    </w:p>
    <w:p w14:paraId="11E1E7DC">
      <w:pPr>
        <w:pStyle w:val="6"/>
        <w:keepNext w:val="0"/>
        <w:keepLines w:val="0"/>
        <w:pageBreakBefore w:val="0"/>
        <w:widowControl/>
        <w:suppressLineNumbers w:val="0"/>
        <w:kinsoku/>
        <w:wordWrap/>
        <w:overflowPunct/>
        <w:topLinePunct w:val="0"/>
        <w:autoSpaceDE/>
        <w:autoSpaceDN/>
        <w:bidi w:val="0"/>
        <w:adjustRightInd/>
        <w:snapToGrid/>
        <w:spacing w:line="520" w:lineRule="exact"/>
        <w:ind w:right="0" w:rightChars="0" w:firstLine="640"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（八）负责经办服务委托管理，与第三方机构签订服务协议，明确服务范围、权利义务等，建立协议管理制度；</w:t>
      </w:r>
    </w:p>
    <w:p w14:paraId="1F3DB75E">
      <w:pPr>
        <w:pStyle w:val="6"/>
        <w:keepNext w:val="0"/>
        <w:keepLines w:val="0"/>
        <w:pageBreakBefore w:val="0"/>
        <w:widowControl/>
        <w:suppressLineNumbers w:val="0"/>
        <w:kinsoku/>
        <w:wordWrap/>
        <w:overflowPunct/>
        <w:topLinePunct w:val="0"/>
        <w:autoSpaceDE/>
        <w:autoSpaceDN/>
        <w:bidi w:val="0"/>
        <w:adjustRightInd/>
        <w:snapToGrid/>
        <w:spacing w:line="520" w:lineRule="exact"/>
        <w:ind w:right="0" w:rightChars="0" w:firstLine="640"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（九）组织开展政策宣传、业务培训，负责信访处理及投诉处置等工作。</w:t>
      </w:r>
    </w:p>
    <w:p w14:paraId="062A25ED">
      <w:pPr>
        <w:pStyle w:val="6"/>
        <w:keepNext w:val="0"/>
        <w:keepLines w:val="0"/>
        <w:pageBreakBefore w:val="0"/>
        <w:widowControl/>
        <w:suppressLineNumbers w:val="0"/>
        <w:kinsoku/>
        <w:wordWrap/>
        <w:overflowPunct/>
        <w:topLinePunct w:val="0"/>
        <w:autoSpaceDE/>
        <w:autoSpaceDN/>
        <w:bidi w:val="0"/>
        <w:adjustRightInd/>
        <w:snapToGrid/>
        <w:spacing w:line="520" w:lineRule="exact"/>
        <w:ind w:right="0" w:rightChars="0" w:firstLine="643"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b/>
          <w:bCs/>
          <w:kern w:val="2"/>
          <w:sz w:val="32"/>
          <w:szCs w:val="32"/>
          <w:highlight w:val="none"/>
          <w:lang w:val="en-US" w:eastAsia="zh-CN" w:bidi="ar-SA"/>
        </w:rPr>
        <w:t>第六十一条</w:t>
      </w:r>
      <w:r>
        <w:rPr>
          <w:rFonts w:hint="eastAsia" w:ascii="Times New Roman" w:hAnsi="Times New Roman" w:eastAsia="仿宋_GB2312" w:cs="Times New Roman"/>
          <w:kern w:val="2"/>
          <w:sz w:val="32"/>
          <w:szCs w:val="32"/>
          <w:highlight w:val="none"/>
          <w:lang w:val="en-US" w:eastAsia="zh-CN" w:bidi="ar-SA"/>
        </w:rPr>
        <w:t xml:space="preserve"> 各县（区）医保经办机构负责本辖区内长护险经办管理工作，严格按照市级统一规程、标准和要求落实具体职责，主要包括：</w:t>
      </w:r>
    </w:p>
    <w:p w14:paraId="68C67D24">
      <w:pPr>
        <w:pStyle w:val="6"/>
        <w:keepNext w:val="0"/>
        <w:keepLines w:val="0"/>
        <w:pageBreakBefore w:val="0"/>
        <w:widowControl/>
        <w:suppressLineNumbers w:val="0"/>
        <w:kinsoku/>
        <w:wordWrap/>
        <w:overflowPunct/>
        <w:topLinePunct w:val="0"/>
        <w:autoSpaceDE/>
        <w:autoSpaceDN/>
        <w:bidi w:val="0"/>
        <w:adjustRightInd/>
        <w:snapToGrid/>
        <w:spacing w:line="520" w:lineRule="exact"/>
        <w:ind w:right="0" w:rightChars="0" w:firstLine="640"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（一）负责本辖区参保登记、信息变更、权益记录等工作；</w:t>
      </w:r>
    </w:p>
    <w:p w14:paraId="10C2AD8E">
      <w:pPr>
        <w:pStyle w:val="6"/>
        <w:keepNext w:val="0"/>
        <w:keepLines w:val="0"/>
        <w:pageBreakBefore w:val="0"/>
        <w:widowControl/>
        <w:suppressLineNumbers w:val="0"/>
        <w:kinsoku/>
        <w:wordWrap/>
        <w:overflowPunct/>
        <w:topLinePunct w:val="0"/>
        <w:autoSpaceDE/>
        <w:autoSpaceDN/>
        <w:bidi w:val="0"/>
        <w:adjustRightInd/>
        <w:snapToGrid/>
        <w:spacing w:line="520" w:lineRule="exact"/>
        <w:ind w:right="0" w:rightChars="0" w:firstLine="640"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（二）配合市医保经办机构开展失能等级评估相关工作，负责申请受理、材料初审等；</w:t>
      </w:r>
    </w:p>
    <w:p w14:paraId="0E0EEEDD">
      <w:pPr>
        <w:pStyle w:val="6"/>
        <w:keepNext w:val="0"/>
        <w:keepLines w:val="0"/>
        <w:pageBreakBefore w:val="0"/>
        <w:widowControl/>
        <w:suppressLineNumbers w:val="0"/>
        <w:kinsoku/>
        <w:wordWrap/>
        <w:overflowPunct/>
        <w:topLinePunct w:val="0"/>
        <w:autoSpaceDE/>
        <w:autoSpaceDN/>
        <w:bidi w:val="0"/>
        <w:adjustRightInd/>
        <w:snapToGrid/>
        <w:spacing w:line="520" w:lineRule="exact"/>
        <w:ind w:right="0" w:rightChars="0" w:firstLine="640"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（三）负责本辖区定点长护服务机构的确定、协议管理、备案审核等工作；</w:t>
      </w:r>
    </w:p>
    <w:p w14:paraId="3DD3B24E">
      <w:pPr>
        <w:pStyle w:val="6"/>
        <w:keepNext w:val="0"/>
        <w:keepLines w:val="0"/>
        <w:pageBreakBefore w:val="0"/>
        <w:widowControl/>
        <w:suppressLineNumbers w:val="0"/>
        <w:kinsoku/>
        <w:wordWrap/>
        <w:overflowPunct/>
        <w:topLinePunct w:val="0"/>
        <w:autoSpaceDE/>
        <w:autoSpaceDN/>
        <w:bidi w:val="0"/>
        <w:adjustRightInd/>
        <w:snapToGrid/>
        <w:spacing w:line="520" w:lineRule="exact"/>
        <w:ind w:right="0" w:rightChars="0" w:firstLine="640"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（四）负责本辖区费用结算申报受理、初审与复核、基金拨付等工作；</w:t>
      </w:r>
    </w:p>
    <w:p w14:paraId="0D05CB98">
      <w:pPr>
        <w:pStyle w:val="6"/>
        <w:keepNext w:val="0"/>
        <w:keepLines w:val="0"/>
        <w:pageBreakBefore w:val="0"/>
        <w:widowControl/>
        <w:suppressLineNumbers w:val="0"/>
        <w:kinsoku/>
        <w:wordWrap/>
        <w:overflowPunct/>
        <w:topLinePunct w:val="0"/>
        <w:autoSpaceDE/>
        <w:autoSpaceDN/>
        <w:bidi w:val="0"/>
        <w:adjustRightInd/>
        <w:snapToGrid/>
        <w:spacing w:line="520" w:lineRule="exact"/>
        <w:ind w:right="0" w:rightChars="0" w:firstLine="640"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（五）负责本辖区长期护理服务的日常巡查、履约监管，处置服务违规行为；</w:t>
      </w:r>
    </w:p>
    <w:p w14:paraId="4C66AE08">
      <w:pPr>
        <w:pStyle w:val="6"/>
        <w:keepNext w:val="0"/>
        <w:keepLines w:val="0"/>
        <w:pageBreakBefore w:val="0"/>
        <w:widowControl/>
        <w:suppressLineNumbers w:val="0"/>
        <w:kinsoku/>
        <w:wordWrap/>
        <w:overflowPunct/>
        <w:topLinePunct w:val="0"/>
        <w:autoSpaceDE/>
        <w:autoSpaceDN/>
        <w:bidi w:val="0"/>
        <w:adjustRightInd/>
        <w:snapToGrid/>
        <w:spacing w:line="520" w:lineRule="exact"/>
        <w:ind w:right="0" w:rightChars="0" w:firstLine="640"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（六）负责本辖区政策宣传、业务咨询、信访处理及投诉处置等工作；</w:t>
      </w:r>
    </w:p>
    <w:p w14:paraId="68A1C2AC">
      <w:pPr>
        <w:pStyle w:val="6"/>
        <w:keepNext w:val="0"/>
        <w:keepLines w:val="0"/>
        <w:pageBreakBefore w:val="0"/>
        <w:widowControl/>
        <w:suppressLineNumbers w:val="0"/>
        <w:kinsoku/>
        <w:wordWrap/>
        <w:overflowPunct/>
        <w:topLinePunct w:val="0"/>
        <w:autoSpaceDE/>
        <w:autoSpaceDN/>
        <w:bidi w:val="0"/>
        <w:adjustRightInd/>
        <w:snapToGrid/>
        <w:spacing w:line="520" w:lineRule="exact"/>
        <w:ind w:right="0" w:rightChars="0" w:firstLine="640"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（七）其他经办管理工作。</w:t>
      </w:r>
    </w:p>
    <w:p w14:paraId="0A6AB78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rightChars="0" w:firstLine="643" w:firstLineChars="200"/>
        <w:jc w:val="both"/>
        <w:textAlignment w:val="auto"/>
        <w:rPr>
          <w:rFonts w:hint="eastAsia" w:ascii="Times New Roman" w:hAnsi="Times New Roman" w:eastAsia="仿宋_GB2312" w:cs="Times New Roman"/>
          <w:kern w:val="2"/>
          <w:sz w:val="32"/>
          <w:szCs w:val="32"/>
          <w:highlight w:val="none"/>
          <w:u w:val="none"/>
          <w:lang w:val="en-US" w:eastAsia="zh-CN" w:bidi="ar-SA"/>
        </w:rPr>
      </w:pPr>
      <w:r>
        <w:rPr>
          <w:rFonts w:hint="eastAsia" w:ascii="Times New Roman" w:hAnsi="Times New Roman" w:eastAsia="仿宋_GB2312" w:cs="Times New Roman"/>
          <w:b/>
          <w:bCs/>
          <w:kern w:val="2"/>
          <w:sz w:val="32"/>
          <w:szCs w:val="32"/>
          <w:highlight w:val="none"/>
          <w:lang w:val="en-US" w:eastAsia="zh-CN" w:bidi="ar-SA"/>
        </w:rPr>
        <w:t>第六十二条</w:t>
      </w:r>
      <w:r>
        <w:rPr>
          <w:rFonts w:hint="eastAsia" w:ascii="Times New Roman" w:hAnsi="Times New Roman" w:eastAsia="仿宋_GB2312" w:cs="Times New Roman"/>
          <w:kern w:val="2"/>
          <w:sz w:val="32"/>
          <w:szCs w:val="32"/>
          <w:highlight w:val="none"/>
          <w:lang w:val="en-US" w:eastAsia="zh-CN" w:bidi="ar-SA"/>
        </w:rPr>
        <w:t xml:space="preserve"> </w:t>
      </w:r>
      <w:r>
        <w:rPr>
          <w:rFonts w:hint="eastAsia" w:ascii="Times New Roman" w:hAnsi="Times New Roman" w:eastAsia="仿宋_GB2312" w:cs="Times New Roman"/>
          <w:kern w:val="2"/>
          <w:sz w:val="32"/>
          <w:szCs w:val="32"/>
          <w:highlight w:val="none"/>
          <w:u w:val="none"/>
          <w:lang w:val="en-US" w:eastAsia="zh-CN" w:bidi="ar-SA"/>
        </w:rPr>
        <w:t>市医保部门按照规定通过公开招标等方式，选择具备相应资质的第三方机构承办长护险经办服务，并签订服务协议。第三方机构在市医保经办机构统一指导下，开展以下业务：</w:t>
      </w:r>
    </w:p>
    <w:p w14:paraId="4036AF3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rightChars="0" w:firstLine="640" w:firstLineChars="200"/>
        <w:jc w:val="both"/>
        <w:textAlignment w:val="auto"/>
        <w:rPr>
          <w:rFonts w:hint="eastAsia" w:ascii="Times New Roman" w:hAnsi="Times New Roman" w:eastAsia="仿宋_GB2312" w:cs="Times New Roman"/>
          <w:kern w:val="2"/>
          <w:sz w:val="32"/>
          <w:szCs w:val="32"/>
          <w:highlight w:val="none"/>
          <w:u w:val="none"/>
          <w:lang w:val="en-US" w:eastAsia="zh-CN" w:bidi="ar-SA"/>
        </w:rPr>
      </w:pPr>
      <w:r>
        <w:rPr>
          <w:rFonts w:hint="eastAsia" w:ascii="Times New Roman" w:hAnsi="Times New Roman" w:eastAsia="仿宋_GB2312" w:cs="Times New Roman"/>
          <w:kern w:val="2"/>
          <w:sz w:val="32"/>
          <w:szCs w:val="32"/>
          <w:highlight w:val="none"/>
          <w:u w:val="none"/>
          <w:lang w:val="en-US" w:eastAsia="zh-CN" w:bidi="ar-SA"/>
        </w:rPr>
        <w:t>（一）长护险政策宣传、业务咨询，以及投诉举报线索的受理、转办与反馈；</w:t>
      </w:r>
    </w:p>
    <w:p w14:paraId="6708080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rightChars="0" w:firstLine="640" w:firstLineChars="200"/>
        <w:jc w:val="both"/>
        <w:textAlignment w:val="auto"/>
        <w:rPr>
          <w:rFonts w:hint="eastAsia" w:ascii="Times New Roman" w:hAnsi="Times New Roman" w:eastAsia="仿宋_GB2312" w:cs="Times New Roman"/>
          <w:kern w:val="2"/>
          <w:sz w:val="32"/>
          <w:szCs w:val="32"/>
          <w:highlight w:val="none"/>
          <w:u w:val="none"/>
          <w:lang w:val="en-US" w:eastAsia="zh-CN" w:bidi="ar-SA"/>
        </w:rPr>
      </w:pPr>
      <w:r>
        <w:rPr>
          <w:rFonts w:hint="eastAsia" w:ascii="Times New Roman" w:hAnsi="Times New Roman" w:eastAsia="仿宋_GB2312" w:cs="Times New Roman"/>
          <w:kern w:val="2"/>
          <w:sz w:val="32"/>
          <w:szCs w:val="32"/>
          <w:highlight w:val="none"/>
          <w:u w:val="none"/>
          <w:lang w:val="en-US" w:eastAsia="zh-CN" w:bidi="ar-SA"/>
        </w:rPr>
        <w:t>（二）协助失能等级评估（含初次评估、争议复评、状态变更评估等）的申请受理、材料初审、评估派单；配合开展评估结论抽查、参保人失能状态复核等工作；</w:t>
      </w:r>
    </w:p>
    <w:p w14:paraId="04A77F6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rightChars="0" w:firstLine="640" w:firstLineChars="200"/>
        <w:jc w:val="both"/>
        <w:textAlignment w:val="auto"/>
        <w:rPr>
          <w:rFonts w:hint="eastAsia" w:ascii="Times New Roman" w:hAnsi="Times New Roman" w:eastAsia="仿宋_GB2312" w:cs="Times New Roman"/>
          <w:kern w:val="2"/>
          <w:sz w:val="32"/>
          <w:szCs w:val="32"/>
          <w:highlight w:val="none"/>
          <w:u w:val="none"/>
          <w:lang w:val="en-US" w:eastAsia="zh-CN" w:bidi="ar-SA"/>
        </w:rPr>
      </w:pPr>
      <w:r>
        <w:rPr>
          <w:rFonts w:hint="eastAsia" w:ascii="Times New Roman" w:hAnsi="Times New Roman" w:eastAsia="仿宋_GB2312" w:cs="Times New Roman"/>
          <w:kern w:val="2"/>
          <w:sz w:val="32"/>
          <w:szCs w:val="32"/>
          <w:highlight w:val="none"/>
          <w:u w:val="none"/>
          <w:lang w:val="en-US" w:eastAsia="zh-CN" w:bidi="ar-SA"/>
        </w:rPr>
        <w:t>（三）协助受理评估机构、长护服务机构的定点资格申请及材料初审；协助开展定点机构日常巡查、服务质量监督检查等工作；</w:t>
      </w:r>
    </w:p>
    <w:p w14:paraId="073102F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rightChars="0" w:firstLine="640" w:firstLineChars="200"/>
        <w:jc w:val="both"/>
        <w:textAlignment w:val="auto"/>
        <w:rPr>
          <w:rFonts w:hint="eastAsia" w:ascii="Times New Roman" w:hAnsi="Times New Roman" w:eastAsia="仿宋_GB2312" w:cs="Times New Roman"/>
          <w:kern w:val="2"/>
          <w:sz w:val="32"/>
          <w:szCs w:val="32"/>
          <w:highlight w:val="none"/>
          <w:u w:val="none"/>
          <w:lang w:val="en-US" w:eastAsia="zh-CN" w:bidi="ar-SA"/>
        </w:rPr>
      </w:pPr>
      <w:r>
        <w:rPr>
          <w:rFonts w:hint="eastAsia" w:ascii="Times New Roman" w:hAnsi="Times New Roman" w:eastAsia="仿宋_GB2312" w:cs="Times New Roman"/>
          <w:kern w:val="2"/>
          <w:sz w:val="32"/>
          <w:szCs w:val="32"/>
          <w:highlight w:val="none"/>
          <w:u w:val="none"/>
          <w:lang w:val="en-US" w:eastAsia="zh-CN" w:bidi="ar-SA"/>
        </w:rPr>
        <w:t>（四）协助护理服务计划的审核；</w:t>
      </w:r>
    </w:p>
    <w:p w14:paraId="6B54334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rightChars="0" w:firstLine="640" w:firstLineChars="200"/>
        <w:jc w:val="both"/>
        <w:textAlignment w:val="auto"/>
        <w:rPr>
          <w:rFonts w:hint="eastAsia" w:ascii="Times New Roman" w:hAnsi="Times New Roman" w:eastAsia="仿宋_GB2312" w:cs="Times New Roman"/>
          <w:kern w:val="2"/>
          <w:sz w:val="32"/>
          <w:szCs w:val="32"/>
          <w:highlight w:val="none"/>
          <w:u w:val="none"/>
          <w:lang w:val="en-US" w:eastAsia="zh-CN" w:bidi="ar-SA"/>
        </w:rPr>
      </w:pPr>
      <w:r>
        <w:rPr>
          <w:rFonts w:hint="eastAsia" w:ascii="Times New Roman" w:hAnsi="Times New Roman" w:eastAsia="仿宋_GB2312" w:cs="Times New Roman"/>
          <w:kern w:val="2"/>
          <w:sz w:val="32"/>
          <w:szCs w:val="32"/>
          <w:highlight w:val="none"/>
          <w:u w:val="none"/>
          <w:lang w:val="en-US" w:eastAsia="zh-CN" w:bidi="ar-SA"/>
        </w:rPr>
        <w:t>（五）协助开展失能评估费用、护理服务费用的结算材料初审；</w:t>
      </w:r>
    </w:p>
    <w:p w14:paraId="0DB2E53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rightChars="0" w:firstLine="640" w:firstLineChars="200"/>
        <w:jc w:val="both"/>
        <w:textAlignment w:val="auto"/>
        <w:rPr>
          <w:rFonts w:hint="eastAsia" w:ascii="Times New Roman" w:hAnsi="Times New Roman" w:eastAsia="仿宋_GB2312" w:cs="Times New Roman"/>
          <w:kern w:val="2"/>
          <w:sz w:val="32"/>
          <w:szCs w:val="32"/>
          <w:highlight w:val="none"/>
          <w:u w:val="none"/>
          <w:lang w:val="en-US" w:eastAsia="zh-CN" w:bidi="ar-SA"/>
        </w:rPr>
      </w:pPr>
      <w:r>
        <w:rPr>
          <w:rFonts w:hint="eastAsia" w:ascii="Times New Roman" w:hAnsi="Times New Roman" w:eastAsia="仿宋_GB2312" w:cs="Times New Roman"/>
          <w:kern w:val="2"/>
          <w:sz w:val="32"/>
          <w:szCs w:val="32"/>
          <w:highlight w:val="none"/>
          <w:u w:val="none"/>
          <w:lang w:val="en-US" w:eastAsia="zh-CN" w:bidi="ar-SA"/>
        </w:rPr>
        <w:t>（六）协助业务档案的收集整理与管理；</w:t>
      </w:r>
    </w:p>
    <w:p w14:paraId="050D5B8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rightChars="0" w:firstLine="640" w:firstLineChars="200"/>
        <w:jc w:val="both"/>
        <w:textAlignment w:val="auto"/>
        <w:rPr>
          <w:rFonts w:hint="eastAsia" w:ascii="Times New Roman" w:hAnsi="Times New Roman" w:eastAsia="仿宋_GB2312" w:cs="Times New Roman"/>
          <w:kern w:val="2"/>
          <w:sz w:val="32"/>
          <w:szCs w:val="32"/>
          <w:highlight w:val="none"/>
          <w:u w:val="none"/>
          <w:lang w:val="en-US" w:eastAsia="zh-CN" w:bidi="ar-SA"/>
        </w:rPr>
      </w:pPr>
      <w:r>
        <w:rPr>
          <w:rFonts w:hint="eastAsia" w:ascii="Times New Roman" w:hAnsi="Times New Roman" w:eastAsia="仿宋_GB2312" w:cs="Times New Roman"/>
          <w:kern w:val="2"/>
          <w:sz w:val="32"/>
          <w:szCs w:val="32"/>
          <w:highlight w:val="none"/>
          <w:u w:val="none"/>
          <w:lang w:val="en-US" w:eastAsia="zh-CN" w:bidi="ar-SA"/>
        </w:rPr>
        <w:t>（七）其他经办管理工作。</w:t>
      </w:r>
    </w:p>
    <w:p w14:paraId="762AB8C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rightChars="0" w:firstLine="643"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b/>
          <w:bCs/>
          <w:kern w:val="2"/>
          <w:sz w:val="32"/>
          <w:szCs w:val="32"/>
          <w:highlight w:val="none"/>
          <w:lang w:val="en-US" w:eastAsia="zh-CN" w:bidi="ar-SA"/>
        </w:rPr>
        <w:t xml:space="preserve">第六十三条 </w:t>
      </w:r>
      <w:r>
        <w:rPr>
          <w:rFonts w:hint="eastAsia" w:ascii="Times New Roman" w:hAnsi="Times New Roman" w:eastAsia="仿宋_GB2312" w:cs="Times New Roman"/>
          <w:kern w:val="2"/>
          <w:sz w:val="32"/>
          <w:szCs w:val="32"/>
          <w:highlight w:val="none"/>
          <w:u w:val="none"/>
          <w:lang w:val="en-US" w:eastAsia="zh-CN" w:bidi="ar-SA"/>
        </w:rPr>
        <w:t>第三方经办服务费用，从当年筹集的长护险基金中按照不高于5%的标准列支，由市医保经办机构按季度拨付。</w:t>
      </w:r>
    </w:p>
    <w:p w14:paraId="61C18C6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rightChars="0" w:firstLine="643" w:firstLineChars="200"/>
        <w:jc w:val="both"/>
        <w:textAlignment w:val="auto"/>
        <w:rPr>
          <w:rFonts w:hint="eastAsia" w:ascii="Times New Roman" w:hAnsi="Times New Roman" w:eastAsia="仿宋_GB2312" w:cs="Times New Roman"/>
          <w:b/>
          <w:bCs/>
          <w:kern w:val="2"/>
          <w:sz w:val="32"/>
          <w:szCs w:val="32"/>
          <w:highlight w:val="none"/>
          <w:lang w:val="en-US" w:eastAsia="zh-CN" w:bidi="ar-SA"/>
        </w:rPr>
      </w:pPr>
      <w:r>
        <w:rPr>
          <w:rFonts w:hint="eastAsia" w:ascii="Times New Roman" w:hAnsi="Times New Roman" w:eastAsia="仿宋_GB2312" w:cs="Times New Roman"/>
          <w:b/>
          <w:bCs/>
          <w:kern w:val="2"/>
          <w:sz w:val="32"/>
          <w:szCs w:val="32"/>
          <w:highlight w:val="none"/>
          <w:lang w:val="en-US" w:eastAsia="zh-CN" w:bidi="ar-SA"/>
        </w:rPr>
        <w:t xml:space="preserve">第六十四条 </w:t>
      </w:r>
      <w:r>
        <w:rPr>
          <w:rFonts w:hint="eastAsia" w:ascii="Times New Roman" w:hAnsi="Times New Roman" w:eastAsia="仿宋_GB2312" w:cs="Times New Roman"/>
          <w:kern w:val="2"/>
          <w:sz w:val="32"/>
          <w:szCs w:val="32"/>
          <w:highlight w:val="none"/>
          <w:u w:val="none"/>
          <w:lang w:val="en-US" w:eastAsia="zh-CN" w:bidi="ar-SA"/>
        </w:rPr>
        <w:t>医保经办机构应当依托全国统一的医疗保障信息平台，强化长护险功能模块应用，实现参保登记、失能评估、服务管理、费用结算、基金监管、统计分析等业务全流程线上办理，探索建立并完善长护险待遇享受人员“一人一档”数据库，提升经办管理数字化、精细化水平。</w:t>
      </w:r>
    </w:p>
    <w:p w14:paraId="481DF56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rightChars="0" w:firstLine="643" w:firstLineChars="200"/>
        <w:jc w:val="both"/>
        <w:textAlignment w:val="auto"/>
        <w:rPr>
          <w:rFonts w:hint="eastAsia" w:ascii="黑体" w:hAnsi="黑体" w:eastAsia="黑体" w:cs="黑体"/>
          <w:kern w:val="2"/>
          <w:sz w:val="32"/>
          <w:szCs w:val="32"/>
          <w:highlight w:val="none"/>
          <w:lang w:val="en-US" w:eastAsia="zh-CN" w:bidi="ar-SA"/>
        </w:rPr>
      </w:pPr>
      <w:r>
        <w:rPr>
          <w:rFonts w:hint="eastAsia" w:ascii="Times New Roman" w:hAnsi="Times New Roman" w:eastAsia="仿宋_GB2312" w:cs="Times New Roman"/>
          <w:b/>
          <w:bCs/>
          <w:kern w:val="2"/>
          <w:sz w:val="32"/>
          <w:szCs w:val="32"/>
          <w:highlight w:val="none"/>
          <w:lang w:val="en-US" w:eastAsia="zh-CN" w:bidi="ar-SA"/>
        </w:rPr>
        <w:t>第六十五条</w:t>
      </w:r>
      <w:r>
        <w:rPr>
          <w:rFonts w:hint="eastAsia" w:ascii="Times New Roman" w:hAnsi="Times New Roman" w:eastAsia="仿宋_GB2312" w:cs="Times New Roman"/>
          <w:kern w:val="2"/>
          <w:sz w:val="32"/>
          <w:szCs w:val="32"/>
          <w:highlight w:val="none"/>
          <w:lang w:val="en-US" w:eastAsia="zh-CN" w:bidi="ar-SA"/>
        </w:rPr>
        <w:t xml:space="preserve"> 医保经办机构按照便民高效原则，优化待遇申请、评估、审批、支付流程。公开办事指南和咨询监督电话，推进“互联网+医保”服务，逐步实现线上咨询、评估申请、进度查询等在线服务功能，提高经办服务效率。</w:t>
      </w:r>
    </w:p>
    <w:p w14:paraId="490D08E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right="0" w:rightChars="0"/>
        <w:jc w:val="center"/>
        <w:textAlignment w:val="auto"/>
        <w:rPr>
          <w:rFonts w:hint="eastAsia"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第八章 监督检查</w:t>
      </w:r>
    </w:p>
    <w:p w14:paraId="291F03E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rightChars="0" w:firstLine="643"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b/>
          <w:bCs/>
          <w:kern w:val="2"/>
          <w:sz w:val="32"/>
          <w:szCs w:val="32"/>
          <w:highlight w:val="none"/>
          <w:lang w:val="en-US" w:eastAsia="zh-CN" w:bidi="ar-SA"/>
        </w:rPr>
        <w:t>第六十六条</w:t>
      </w:r>
      <w:r>
        <w:rPr>
          <w:rFonts w:hint="eastAsia" w:ascii="Times New Roman" w:hAnsi="Times New Roman" w:eastAsia="仿宋_GB2312" w:cs="Times New Roman"/>
          <w:kern w:val="2"/>
          <w:sz w:val="32"/>
          <w:szCs w:val="32"/>
          <w:highlight w:val="none"/>
          <w:lang w:val="en-US" w:eastAsia="zh-CN" w:bidi="ar-SA"/>
        </w:rPr>
        <w:t xml:space="preserve"> 市医保行政部门统筹全市长护险的监督管理工作，负责对制度执行情况开展监督检查，对医保经办机构、定点评估机构、定点长护服务机构及第三方经办机构的业务运行情况实施监督与指导。各县（区）医保行政部门负责本辖区内长护险的监督检查工作，构建市、县（区）两级联动的监督管理体系。</w:t>
      </w:r>
    </w:p>
    <w:p w14:paraId="7092AF4B">
      <w:pPr>
        <w:keepNext w:val="0"/>
        <w:keepLines w:val="0"/>
        <w:pageBreakBefore w:val="0"/>
        <w:kinsoku/>
        <w:overflowPunct/>
        <w:topLinePunct w:val="0"/>
        <w:autoSpaceDE/>
        <w:autoSpaceDN/>
        <w:bidi w:val="0"/>
        <w:adjustRightInd/>
        <w:snapToGrid/>
        <w:spacing w:line="520" w:lineRule="exact"/>
        <w:ind w:left="0" w:right="0" w:rightChars="0" w:firstLine="643" w:firstLineChars="200"/>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b/>
          <w:bCs/>
          <w:kern w:val="2"/>
          <w:sz w:val="32"/>
          <w:szCs w:val="32"/>
          <w:highlight w:val="none"/>
          <w:lang w:val="en-US" w:eastAsia="zh-CN" w:bidi="ar-SA"/>
        </w:rPr>
        <w:t>第六十七条</w:t>
      </w:r>
      <w:r>
        <w:rPr>
          <w:rFonts w:hint="eastAsia" w:ascii="Times New Roman" w:hAnsi="Times New Roman" w:eastAsia="仿宋_GB2312" w:cs="Times New Roman"/>
          <w:kern w:val="2"/>
          <w:sz w:val="32"/>
          <w:szCs w:val="32"/>
          <w:highlight w:val="none"/>
          <w:lang w:val="en-US" w:eastAsia="zh-CN" w:bidi="ar-SA"/>
        </w:rPr>
        <w:t xml:space="preserve"> 各级医保经办机构应结合质量管理、投诉举报、核查检查等情况，加强对定点评估机构、定点长护服务机构、第三方经办机构及参保人的管理，定期组织开展日常巡查、随机抽查、绩效考核等工作。</w:t>
      </w:r>
    </w:p>
    <w:p w14:paraId="6F57BD1E">
      <w:pPr>
        <w:keepNext w:val="0"/>
        <w:keepLines w:val="0"/>
        <w:pageBreakBefore w:val="0"/>
        <w:kinsoku/>
        <w:overflowPunct/>
        <w:topLinePunct w:val="0"/>
        <w:autoSpaceDE/>
        <w:autoSpaceDN/>
        <w:bidi w:val="0"/>
        <w:adjustRightInd/>
        <w:snapToGrid/>
        <w:spacing w:line="520" w:lineRule="exact"/>
        <w:ind w:left="0" w:right="0" w:rightChars="0" w:firstLine="643" w:firstLineChars="200"/>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b/>
          <w:bCs/>
          <w:sz w:val="32"/>
          <w:szCs w:val="32"/>
          <w:highlight w:val="none"/>
          <w:lang w:eastAsia="zh-CN" w:bidi="ar-SA"/>
        </w:rPr>
        <w:t>第</w:t>
      </w:r>
      <w:r>
        <w:rPr>
          <w:rFonts w:hint="eastAsia" w:ascii="Times New Roman" w:hAnsi="Times New Roman" w:eastAsia="仿宋_GB2312" w:cs="Times New Roman"/>
          <w:b/>
          <w:bCs/>
          <w:kern w:val="2"/>
          <w:sz w:val="32"/>
          <w:szCs w:val="32"/>
          <w:highlight w:val="none"/>
          <w:lang w:val="en-US" w:eastAsia="zh-CN" w:bidi="ar-SA"/>
        </w:rPr>
        <w:t>六</w:t>
      </w:r>
      <w:r>
        <w:rPr>
          <w:rFonts w:hint="eastAsia" w:ascii="Times New Roman" w:hAnsi="Times New Roman" w:eastAsia="仿宋_GB2312" w:cs="Times New Roman"/>
          <w:b/>
          <w:bCs/>
          <w:sz w:val="32"/>
          <w:szCs w:val="32"/>
          <w:highlight w:val="none"/>
          <w:lang w:eastAsia="zh-CN" w:bidi="ar-SA"/>
        </w:rPr>
        <w:t>十八条</w:t>
      </w:r>
      <w:r>
        <w:rPr>
          <w:rFonts w:hint="eastAsia" w:ascii="Times New Roman" w:hAnsi="Times New Roman" w:eastAsia="仿宋_GB2312" w:cs="Times New Roman"/>
          <w:b/>
          <w:bCs/>
          <w:sz w:val="32"/>
          <w:szCs w:val="32"/>
          <w:highlight w:val="none"/>
          <w:lang w:val="en-US" w:eastAsia="zh-CN" w:bidi="ar-SA"/>
        </w:rPr>
        <w:t xml:space="preserve"> </w:t>
      </w:r>
      <w:r>
        <w:rPr>
          <w:rFonts w:hint="eastAsia" w:ascii="Times New Roman" w:hAnsi="Times New Roman" w:eastAsia="仿宋_GB2312" w:cs="Times New Roman"/>
          <w:kern w:val="2"/>
          <w:sz w:val="32"/>
          <w:szCs w:val="32"/>
          <w:highlight w:val="none"/>
          <w:lang w:val="en-US" w:eastAsia="zh-CN" w:bidi="ar-SA"/>
        </w:rPr>
        <w:t>医保部门发现定点评估机构、定点长护服务机构、第三方经办机构违反长护险相关规定或服务协议约定的，由医保经办机构责令整改，追回违规费用，并按协议约定处理；涉及行政处罚的，由医保行政部门依法查处；涉嫌犯罪的，移送司法机关追究刑事责任；涉及其他部门职责的，移交相关主管部门处理。</w:t>
      </w:r>
    </w:p>
    <w:p w14:paraId="1F1E987C">
      <w:pPr>
        <w:pStyle w:val="2"/>
        <w:keepNext w:val="0"/>
        <w:keepLines w:val="0"/>
        <w:pageBreakBefore w:val="0"/>
        <w:kinsoku/>
        <w:overflowPunct/>
        <w:topLinePunct w:val="0"/>
        <w:autoSpaceDE/>
        <w:autoSpaceDN/>
        <w:bidi w:val="0"/>
        <w:adjustRightInd/>
        <w:snapToGrid/>
        <w:spacing w:line="520" w:lineRule="exact"/>
        <w:ind w:left="0" w:right="0" w:rightChars="0" w:firstLine="643"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b/>
          <w:bCs/>
          <w:sz w:val="32"/>
          <w:szCs w:val="32"/>
          <w:highlight w:val="none"/>
          <w:lang w:eastAsia="zh-CN" w:bidi="ar-SA"/>
        </w:rPr>
        <w:t>第</w:t>
      </w:r>
      <w:r>
        <w:rPr>
          <w:rFonts w:hint="eastAsia" w:ascii="Times New Roman" w:hAnsi="Times New Roman" w:eastAsia="仿宋_GB2312" w:cs="Times New Roman"/>
          <w:b/>
          <w:bCs/>
          <w:kern w:val="2"/>
          <w:sz w:val="32"/>
          <w:szCs w:val="32"/>
          <w:highlight w:val="none"/>
          <w:lang w:val="en-US" w:eastAsia="zh-CN" w:bidi="ar-SA"/>
        </w:rPr>
        <w:t>六</w:t>
      </w:r>
      <w:r>
        <w:rPr>
          <w:rFonts w:hint="eastAsia" w:ascii="Times New Roman" w:hAnsi="Times New Roman" w:eastAsia="仿宋_GB2312" w:cs="Times New Roman"/>
          <w:b/>
          <w:bCs/>
          <w:sz w:val="32"/>
          <w:szCs w:val="32"/>
          <w:highlight w:val="none"/>
          <w:lang w:eastAsia="zh-CN" w:bidi="ar-SA"/>
        </w:rPr>
        <w:t>十九条</w:t>
      </w:r>
      <w:r>
        <w:rPr>
          <w:rFonts w:hint="eastAsia" w:ascii="Times New Roman" w:hAnsi="Times New Roman" w:eastAsia="仿宋_GB2312" w:cs="Times New Roman"/>
          <w:b/>
          <w:bCs/>
          <w:sz w:val="32"/>
          <w:szCs w:val="32"/>
          <w:highlight w:val="none"/>
          <w:lang w:val="en-US" w:eastAsia="zh-CN" w:bidi="ar-SA"/>
        </w:rPr>
        <w:t xml:space="preserve"> </w:t>
      </w:r>
      <w:r>
        <w:rPr>
          <w:rFonts w:hint="eastAsia" w:ascii="Times New Roman" w:hAnsi="Times New Roman" w:eastAsia="仿宋_GB2312" w:cs="Times New Roman"/>
          <w:kern w:val="2"/>
          <w:sz w:val="32"/>
          <w:szCs w:val="32"/>
          <w:highlight w:val="none"/>
          <w:lang w:val="en-US" w:eastAsia="zh-CN" w:bidi="ar-SA"/>
        </w:rPr>
        <w:t>医保经办机构发现参保人存在违规行为的，可根据违规情节，采取暂停联网结算、暂停或取消长护险待遇享受资格等措施，并将违规信息推送至相关机构。涉及行政处罚的，移交医保行政部门依法处理；涉嫌犯罪的，移送司法机关依法追究刑事责任。</w:t>
      </w:r>
    </w:p>
    <w:p w14:paraId="663C7FE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rightChars="0" w:firstLine="643"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b/>
          <w:bCs/>
          <w:kern w:val="2"/>
          <w:sz w:val="32"/>
          <w:szCs w:val="32"/>
          <w:highlight w:val="none"/>
          <w:lang w:val="en-US" w:eastAsia="zh-CN" w:bidi="ar-SA"/>
        </w:rPr>
        <w:t>第七十条</w:t>
      </w:r>
      <w:r>
        <w:rPr>
          <w:rFonts w:hint="eastAsia" w:ascii="Times New Roman" w:hAnsi="Times New Roman" w:eastAsia="仿宋_GB2312" w:cs="Times New Roman"/>
          <w:kern w:val="2"/>
          <w:sz w:val="32"/>
          <w:szCs w:val="32"/>
          <w:highlight w:val="none"/>
          <w:lang w:val="en-US" w:eastAsia="zh-CN" w:bidi="ar-SA"/>
        </w:rPr>
        <w:t xml:space="preserve"> 定点评估机构、定点长护服务机构及第三方经办机构应建立信息安全管理制度，规范数据传输、使用、储存等环节管理，不得将相关数据、参保人敏感信息用于商业用途或违规泄露。医保经办机构应对信息安全管理情况开展监督检查，对违反规定的，按相关规定处理。</w:t>
      </w:r>
    </w:p>
    <w:p w14:paraId="38B1B92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rightChars="0" w:firstLine="643"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b/>
          <w:bCs/>
          <w:kern w:val="2"/>
          <w:sz w:val="32"/>
          <w:szCs w:val="32"/>
          <w:highlight w:val="none"/>
          <w:lang w:val="en-US" w:eastAsia="zh-CN" w:bidi="ar-SA"/>
        </w:rPr>
        <w:t xml:space="preserve">第七十一条 </w:t>
      </w:r>
      <w:r>
        <w:rPr>
          <w:rFonts w:hint="eastAsia" w:ascii="Times New Roman" w:hAnsi="Times New Roman" w:eastAsia="仿宋_GB2312" w:cs="Times New Roman"/>
          <w:kern w:val="2"/>
          <w:sz w:val="32"/>
          <w:szCs w:val="32"/>
          <w:highlight w:val="none"/>
          <w:lang w:val="en-US" w:eastAsia="zh-CN" w:bidi="ar-SA"/>
        </w:rPr>
        <w:t>因违规被暂停或不予拨付费用、中止协议的机构，被限制从业的人员，以及被暂停、取消待遇的参保人，应在限制或暂停期限届满后，向医保经办机构重新提出申请，经审核通过后，方可恢复相应资格或待遇。</w:t>
      </w:r>
    </w:p>
    <w:p w14:paraId="1222A4B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rightChars="0" w:firstLine="643"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b/>
          <w:bCs/>
          <w:kern w:val="2"/>
          <w:sz w:val="32"/>
          <w:szCs w:val="32"/>
          <w:highlight w:val="none"/>
          <w:lang w:val="en-US" w:eastAsia="zh-CN" w:bidi="ar-SA"/>
        </w:rPr>
        <w:t>第七十二条</w:t>
      </w:r>
      <w:r>
        <w:rPr>
          <w:rFonts w:hint="eastAsia" w:ascii="Times New Roman" w:hAnsi="Times New Roman" w:eastAsia="仿宋_GB2312" w:cs="Times New Roman"/>
          <w:kern w:val="2"/>
          <w:sz w:val="32"/>
          <w:szCs w:val="32"/>
          <w:highlight w:val="none"/>
          <w:lang w:val="en-US" w:eastAsia="zh-CN" w:bidi="ar-SA"/>
        </w:rPr>
        <w:t xml:space="preserve"> 医保部门应当建立健全社会监督机制，可通过开展满意度调查、引入第三方评价、聘请社会监督员、实施信用管理等方式，广泛接受社会监督。畅通举报投诉渠道，对收到的举报投诉线索及时依法依规调查处理。</w:t>
      </w:r>
      <w:r>
        <w:rPr>
          <w:rFonts w:hint="eastAsia" w:ascii="Times New Roman" w:hAnsi="Times New Roman" w:eastAsia="仿宋_GB2312" w:cs="Times New Roman"/>
          <w:b/>
          <w:bCs/>
          <w:kern w:val="2"/>
          <w:sz w:val="32"/>
          <w:szCs w:val="32"/>
          <w:highlight w:val="none"/>
          <w:lang w:val="en-US" w:eastAsia="zh-CN" w:bidi="ar-SA"/>
        </w:rPr>
        <w:t xml:space="preserve"> </w:t>
      </w:r>
    </w:p>
    <w:p w14:paraId="367A3CB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rightChars="0" w:firstLine="643"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b/>
          <w:bCs/>
          <w:kern w:val="2"/>
          <w:sz w:val="32"/>
          <w:szCs w:val="32"/>
          <w:highlight w:val="none"/>
          <w:lang w:val="en-US" w:eastAsia="zh-CN" w:bidi="ar-SA"/>
        </w:rPr>
        <w:t>第七十三条</w:t>
      </w:r>
      <w:r>
        <w:rPr>
          <w:rFonts w:hint="eastAsia" w:ascii="Times New Roman" w:hAnsi="Times New Roman" w:eastAsia="仿宋_GB2312" w:cs="Times New Roman"/>
          <w:kern w:val="2"/>
          <w:sz w:val="32"/>
          <w:szCs w:val="32"/>
          <w:highlight w:val="none"/>
          <w:lang w:val="en-US" w:eastAsia="zh-CN" w:bidi="ar-SA"/>
        </w:rPr>
        <w:t xml:space="preserve"> 医保行政部门应当建立长护险信息公开制度，定期向社会公开基金收支运行、监督检查结果、违规行为处理等情况，接受社会监督。定点评估机构、定点长护服务机构的名录、服务范围、考核结果等信息，由市、县（区）医保经办机构按职责通过官方渠道向社会公布。</w:t>
      </w:r>
    </w:p>
    <w:p w14:paraId="7836BAA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rightChars="0" w:firstLine="643"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b/>
          <w:bCs/>
          <w:kern w:val="2"/>
          <w:sz w:val="32"/>
          <w:szCs w:val="32"/>
          <w:highlight w:val="none"/>
          <w:lang w:val="en-US" w:eastAsia="zh-CN" w:bidi="ar-SA"/>
        </w:rPr>
        <w:t>第七十四条</w:t>
      </w:r>
      <w:r>
        <w:rPr>
          <w:rFonts w:hint="eastAsia" w:ascii="Times New Roman" w:hAnsi="Times New Roman" w:eastAsia="仿宋_GB2312" w:cs="Times New Roman"/>
          <w:kern w:val="2"/>
          <w:sz w:val="32"/>
          <w:szCs w:val="32"/>
          <w:highlight w:val="none"/>
          <w:lang w:val="en-US" w:eastAsia="zh-CN" w:bidi="ar-SA"/>
        </w:rPr>
        <w:t xml:space="preserve"> 市、县（区）医保部门完善监管长效机制，逐步将长护险基金使用纳入飞行检查、日常监管、智能监管、社会监督等常态化监管范围。加大监管执法力度，做好协议管理与行政监管的有效衔接，建立健全重要线索、重大案件联查联办和追责问责机制。</w:t>
      </w:r>
    </w:p>
    <w:p w14:paraId="25DC5C3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right="0" w:rightChars="0"/>
        <w:jc w:val="center"/>
        <w:textAlignment w:val="auto"/>
        <w:rPr>
          <w:rFonts w:hint="default" w:ascii="Times New Roman" w:hAnsi="Times New Roman" w:eastAsia="仿宋_GB2312" w:cs="Times New Roman"/>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第九章 附则</w:t>
      </w:r>
    </w:p>
    <w:p w14:paraId="2052C91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right="0" w:rightChars="0" w:firstLine="643"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b/>
          <w:bCs/>
          <w:kern w:val="2"/>
          <w:sz w:val="32"/>
          <w:szCs w:val="32"/>
          <w:highlight w:val="none"/>
          <w:lang w:val="en-US" w:eastAsia="zh-CN" w:bidi="ar-SA"/>
        </w:rPr>
        <w:t>第七十五条</w:t>
      </w:r>
      <w:r>
        <w:rPr>
          <w:rFonts w:hint="eastAsia" w:ascii="Times New Roman" w:hAnsi="Times New Roman" w:eastAsia="仿宋_GB2312" w:cs="Times New Roman"/>
          <w:kern w:val="2"/>
          <w:sz w:val="32"/>
          <w:szCs w:val="32"/>
          <w:highlight w:val="none"/>
          <w:lang w:val="en-US" w:eastAsia="zh-CN" w:bidi="ar-SA"/>
        </w:rPr>
        <w:t xml:space="preserve"> 本实施细则自</w:t>
      </w:r>
      <w:r>
        <w:rPr>
          <w:rFonts w:hint="eastAsia" w:ascii="Times New Roman" w:hAnsi="Times New Roman" w:eastAsia="仿宋_GB2312" w:cs="Times New Roman"/>
          <w:kern w:val="2"/>
          <w:sz w:val="32"/>
          <w:szCs w:val="32"/>
          <w:highlight w:val="none"/>
          <w:u w:val="none"/>
          <w:lang w:val="en-US" w:eastAsia="zh-CN" w:bidi="ar-SA"/>
        </w:rPr>
        <w:t>2026</w:t>
      </w:r>
      <w:r>
        <w:rPr>
          <w:rFonts w:hint="eastAsia" w:ascii="Times New Roman" w:hAnsi="Times New Roman" w:eastAsia="仿宋_GB2312" w:cs="Times New Roman"/>
          <w:kern w:val="2"/>
          <w:sz w:val="32"/>
          <w:szCs w:val="32"/>
          <w:highlight w:val="none"/>
          <w:lang w:val="en-US" w:eastAsia="zh-CN" w:bidi="ar-SA"/>
        </w:rPr>
        <w:t>年</w:t>
      </w:r>
      <w:r>
        <w:rPr>
          <w:rFonts w:hint="eastAsia" w:ascii="Times New Roman" w:hAnsi="Times New Roman" w:eastAsia="仿宋_GB2312" w:cs="Times New Roman"/>
          <w:kern w:val="2"/>
          <w:sz w:val="32"/>
          <w:szCs w:val="32"/>
          <w:highlight w:val="none"/>
          <w:u w:val="none"/>
          <w:lang w:val="en-US" w:eastAsia="zh-CN" w:bidi="ar-SA"/>
        </w:rPr>
        <w:t>7</w:t>
      </w:r>
      <w:r>
        <w:rPr>
          <w:rFonts w:hint="eastAsia" w:ascii="Times New Roman" w:hAnsi="Times New Roman" w:eastAsia="仿宋_GB2312" w:cs="Times New Roman"/>
          <w:kern w:val="2"/>
          <w:sz w:val="32"/>
          <w:szCs w:val="32"/>
          <w:highlight w:val="none"/>
          <w:lang w:val="en-US" w:eastAsia="zh-CN" w:bidi="ar-SA"/>
        </w:rPr>
        <w:t>月</w:t>
      </w:r>
      <w:r>
        <w:rPr>
          <w:rFonts w:hint="eastAsia" w:ascii="Times New Roman" w:hAnsi="Times New Roman" w:eastAsia="仿宋_GB2312" w:cs="Times New Roman"/>
          <w:kern w:val="2"/>
          <w:sz w:val="32"/>
          <w:szCs w:val="32"/>
          <w:highlight w:val="none"/>
          <w:u w:val="none"/>
          <w:lang w:val="en-US" w:eastAsia="zh-CN" w:bidi="ar-SA"/>
        </w:rPr>
        <w:t>1</w:t>
      </w:r>
      <w:r>
        <w:rPr>
          <w:rFonts w:hint="eastAsia" w:ascii="Times New Roman" w:hAnsi="Times New Roman" w:eastAsia="仿宋_GB2312" w:cs="Times New Roman"/>
          <w:kern w:val="2"/>
          <w:sz w:val="32"/>
          <w:szCs w:val="32"/>
          <w:highlight w:val="none"/>
          <w:lang w:val="en-US" w:eastAsia="zh-CN" w:bidi="ar-SA"/>
        </w:rPr>
        <w:t>日起施行。</w:t>
      </w:r>
    </w:p>
    <w:p w14:paraId="58B5C8D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right="0" w:rightChars="0" w:firstLine="643"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b/>
          <w:bCs/>
          <w:kern w:val="2"/>
          <w:sz w:val="32"/>
          <w:szCs w:val="32"/>
          <w:highlight w:val="none"/>
          <w:lang w:val="en-US" w:eastAsia="zh-CN" w:bidi="ar-SA"/>
        </w:rPr>
        <w:t>第七十六条</w:t>
      </w:r>
      <w:r>
        <w:rPr>
          <w:rFonts w:hint="eastAsia" w:ascii="Times New Roman" w:hAnsi="Times New Roman" w:eastAsia="仿宋_GB2312" w:cs="Times New Roman"/>
          <w:kern w:val="2"/>
          <w:sz w:val="32"/>
          <w:szCs w:val="32"/>
          <w:highlight w:val="none"/>
          <w:lang w:val="en-US" w:eastAsia="zh-CN" w:bidi="ar-SA"/>
        </w:rPr>
        <w:t xml:space="preserve"> 本细则施行前，秦皇岛经济技术开发区长护险试点工作，按照国家及省关于长护险试点过渡的相关要求，拟定过渡方案，报市医保局审核通过后实施政策衔接过渡。</w:t>
      </w:r>
    </w:p>
    <w:p w14:paraId="4E5A8FC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right="0" w:rightChars="0" w:firstLine="643"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b/>
          <w:bCs/>
          <w:kern w:val="2"/>
          <w:sz w:val="32"/>
          <w:szCs w:val="32"/>
          <w:highlight w:val="none"/>
          <w:lang w:val="en-US" w:eastAsia="zh-CN" w:bidi="ar-SA"/>
        </w:rPr>
        <w:t>第七十七条</w:t>
      </w:r>
      <w:r>
        <w:rPr>
          <w:rFonts w:hint="eastAsia" w:ascii="Times New Roman" w:hAnsi="Times New Roman" w:eastAsia="仿宋_GB2312" w:cs="Times New Roman"/>
          <w:kern w:val="2"/>
          <w:sz w:val="32"/>
          <w:szCs w:val="32"/>
          <w:highlight w:val="none"/>
          <w:lang w:val="en-US" w:eastAsia="zh-CN" w:bidi="ar-SA"/>
        </w:rPr>
        <w:t xml:space="preserve"> 本细则涉及的参保范围、缴费标准、待遇享受等政策内容，由市医保局会同市财政局等有关部门根据经济社会发展水平、基金收支情况等适时调整。</w:t>
      </w:r>
    </w:p>
    <w:p w14:paraId="56DA0EA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right="0" w:rightChars="0" w:firstLine="643"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b/>
          <w:bCs/>
          <w:kern w:val="2"/>
          <w:sz w:val="32"/>
          <w:szCs w:val="32"/>
          <w:highlight w:val="none"/>
          <w:lang w:val="en-US" w:eastAsia="zh-CN" w:bidi="ar-SA"/>
        </w:rPr>
        <w:t xml:space="preserve">第七十八条 </w:t>
      </w:r>
      <w:r>
        <w:rPr>
          <w:rFonts w:hint="default" w:ascii="Times New Roman" w:hAnsi="Times New Roman" w:eastAsia="仿宋_GB2312" w:cs="Times New Roman"/>
          <w:kern w:val="2"/>
          <w:sz w:val="32"/>
          <w:szCs w:val="32"/>
          <w:highlight w:val="none"/>
          <w:lang w:val="en-US" w:eastAsia="zh-CN" w:bidi="ar-SA"/>
        </w:rPr>
        <w:t>本</w:t>
      </w:r>
      <w:r>
        <w:rPr>
          <w:rFonts w:hint="eastAsia" w:ascii="Times New Roman" w:hAnsi="Times New Roman" w:eastAsia="仿宋_GB2312" w:cs="Times New Roman"/>
          <w:kern w:val="2"/>
          <w:sz w:val="32"/>
          <w:szCs w:val="32"/>
          <w:highlight w:val="none"/>
          <w:lang w:val="en-US" w:eastAsia="zh-CN" w:bidi="ar-SA"/>
        </w:rPr>
        <w:t>实施</w:t>
      </w:r>
      <w:r>
        <w:rPr>
          <w:rFonts w:hint="default" w:ascii="Times New Roman" w:hAnsi="Times New Roman" w:eastAsia="仿宋_GB2312" w:cs="Times New Roman"/>
          <w:kern w:val="2"/>
          <w:sz w:val="32"/>
          <w:szCs w:val="32"/>
          <w:highlight w:val="none"/>
          <w:lang w:val="en-US" w:eastAsia="zh-CN" w:bidi="ar-SA"/>
        </w:rPr>
        <w:t>细则由市</w:t>
      </w:r>
      <w:r>
        <w:rPr>
          <w:rFonts w:hint="eastAsia" w:ascii="Times New Roman" w:hAnsi="Times New Roman" w:eastAsia="仿宋_GB2312" w:cs="Times New Roman"/>
          <w:kern w:val="2"/>
          <w:sz w:val="32"/>
          <w:szCs w:val="32"/>
          <w:highlight w:val="none"/>
          <w:lang w:val="en-US" w:eastAsia="zh-CN" w:bidi="ar-SA"/>
        </w:rPr>
        <w:t>医保</w:t>
      </w:r>
      <w:r>
        <w:rPr>
          <w:rFonts w:hint="default" w:ascii="Times New Roman" w:hAnsi="Times New Roman" w:eastAsia="仿宋_GB2312" w:cs="Times New Roman"/>
          <w:kern w:val="2"/>
          <w:sz w:val="32"/>
          <w:szCs w:val="32"/>
          <w:highlight w:val="none"/>
          <w:lang w:val="en-US" w:eastAsia="zh-CN" w:bidi="ar-SA"/>
        </w:rPr>
        <w:t>负责解释</w:t>
      </w:r>
      <w:r>
        <w:rPr>
          <w:rFonts w:hint="eastAsia" w:ascii="Times New Roman" w:hAnsi="Times New Roman" w:eastAsia="仿宋_GB2312" w:cs="Times New Roman"/>
          <w:kern w:val="2"/>
          <w:sz w:val="32"/>
          <w:szCs w:val="32"/>
          <w:highlight w:val="none"/>
          <w:lang w:val="en-US" w:eastAsia="zh-CN" w:bidi="ar-SA"/>
        </w:rPr>
        <w:t>，涉及相关部门职责的，由市医保局商请相关部门共同作出解释</w:t>
      </w:r>
      <w:r>
        <w:rPr>
          <w:rFonts w:hint="default" w:ascii="Times New Roman" w:hAnsi="Times New Roman" w:eastAsia="仿宋_GB2312" w:cs="Times New Roman"/>
          <w:kern w:val="2"/>
          <w:sz w:val="32"/>
          <w:szCs w:val="32"/>
          <w:highlight w:val="none"/>
          <w:lang w:val="en-US" w:eastAsia="zh-CN" w:bidi="ar-SA"/>
        </w:rPr>
        <w:t>。</w:t>
      </w:r>
    </w:p>
    <w:p w14:paraId="71B4650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right="0" w:rightChars="0" w:firstLine="480" w:firstLineChars="200"/>
        <w:jc w:val="both"/>
        <w:textAlignment w:val="auto"/>
        <w:rPr>
          <w:highlight w:val="none"/>
        </w:rPr>
      </w:pPr>
    </w:p>
    <w:sectPr>
      <w:footerReference r:id="rId3" w:type="default"/>
      <w:pgSz w:w="11906" w:h="16838"/>
      <w:pgMar w:top="1814" w:right="1531" w:bottom="147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DA4E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A45A05">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0A45A05">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mMWZiZTlmODVlNWRlNjllOWRiMTRlNjA0ZTg0ZjYifQ=="/>
  </w:docVars>
  <w:rsids>
    <w:rsidRoot w:val="26230A1D"/>
    <w:rsid w:val="00125861"/>
    <w:rsid w:val="003F23CE"/>
    <w:rsid w:val="00615EA1"/>
    <w:rsid w:val="0069744B"/>
    <w:rsid w:val="00B46918"/>
    <w:rsid w:val="00D358A2"/>
    <w:rsid w:val="00DC19CB"/>
    <w:rsid w:val="00F05477"/>
    <w:rsid w:val="010B0368"/>
    <w:rsid w:val="01280D1F"/>
    <w:rsid w:val="01377380"/>
    <w:rsid w:val="014D4677"/>
    <w:rsid w:val="01657C13"/>
    <w:rsid w:val="017C6D0A"/>
    <w:rsid w:val="018C33F1"/>
    <w:rsid w:val="018F4C90"/>
    <w:rsid w:val="01A87AFF"/>
    <w:rsid w:val="01AA7D1B"/>
    <w:rsid w:val="01C0753F"/>
    <w:rsid w:val="01CA5CC8"/>
    <w:rsid w:val="01F33470"/>
    <w:rsid w:val="01FD609D"/>
    <w:rsid w:val="01FE5971"/>
    <w:rsid w:val="02145195"/>
    <w:rsid w:val="024C0DD3"/>
    <w:rsid w:val="02936A01"/>
    <w:rsid w:val="02954528"/>
    <w:rsid w:val="03304250"/>
    <w:rsid w:val="03323B24"/>
    <w:rsid w:val="035C5045"/>
    <w:rsid w:val="03685798"/>
    <w:rsid w:val="03870C59"/>
    <w:rsid w:val="03991DF6"/>
    <w:rsid w:val="03A367D0"/>
    <w:rsid w:val="03A72764"/>
    <w:rsid w:val="03BE360A"/>
    <w:rsid w:val="03E10356"/>
    <w:rsid w:val="03E272F9"/>
    <w:rsid w:val="03EC63C9"/>
    <w:rsid w:val="041A2F36"/>
    <w:rsid w:val="04203494"/>
    <w:rsid w:val="04893C18"/>
    <w:rsid w:val="049F168E"/>
    <w:rsid w:val="04AD7AC6"/>
    <w:rsid w:val="04C80BE4"/>
    <w:rsid w:val="04E82BFE"/>
    <w:rsid w:val="04ED23F9"/>
    <w:rsid w:val="04FF212C"/>
    <w:rsid w:val="05096B07"/>
    <w:rsid w:val="05445D91"/>
    <w:rsid w:val="05545FD4"/>
    <w:rsid w:val="06473D8B"/>
    <w:rsid w:val="06563FCE"/>
    <w:rsid w:val="06634889"/>
    <w:rsid w:val="066C1A43"/>
    <w:rsid w:val="067B1C86"/>
    <w:rsid w:val="068E19BA"/>
    <w:rsid w:val="06B86A37"/>
    <w:rsid w:val="06C158EB"/>
    <w:rsid w:val="07027CB2"/>
    <w:rsid w:val="0708176C"/>
    <w:rsid w:val="070B300A"/>
    <w:rsid w:val="07630750"/>
    <w:rsid w:val="076808B4"/>
    <w:rsid w:val="07693C74"/>
    <w:rsid w:val="07927288"/>
    <w:rsid w:val="07B74F40"/>
    <w:rsid w:val="07C80EFB"/>
    <w:rsid w:val="07CA4C73"/>
    <w:rsid w:val="07D17DB0"/>
    <w:rsid w:val="07F27D26"/>
    <w:rsid w:val="08084779"/>
    <w:rsid w:val="083640B7"/>
    <w:rsid w:val="08646E76"/>
    <w:rsid w:val="08836BD0"/>
    <w:rsid w:val="089A4646"/>
    <w:rsid w:val="089B03BE"/>
    <w:rsid w:val="08A161B1"/>
    <w:rsid w:val="08A2174C"/>
    <w:rsid w:val="08A52FEB"/>
    <w:rsid w:val="08C23B9D"/>
    <w:rsid w:val="08D51B22"/>
    <w:rsid w:val="08DB6A0C"/>
    <w:rsid w:val="08F655F4"/>
    <w:rsid w:val="090146C5"/>
    <w:rsid w:val="093006EE"/>
    <w:rsid w:val="09497E1A"/>
    <w:rsid w:val="095C7B4D"/>
    <w:rsid w:val="095F13EB"/>
    <w:rsid w:val="0969226A"/>
    <w:rsid w:val="099A0675"/>
    <w:rsid w:val="09CD45A7"/>
    <w:rsid w:val="09FB55FC"/>
    <w:rsid w:val="0A2D4C39"/>
    <w:rsid w:val="0A2F0DBE"/>
    <w:rsid w:val="0A8207B6"/>
    <w:rsid w:val="0A8A2498"/>
    <w:rsid w:val="0A9B28F7"/>
    <w:rsid w:val="0AC260D6"/>
    <w:rsid w:val="0AC77248"/>
    <w:rsid w:val="0ACE6829"/>
    <w:rsid w:val="0B0B35D9"/>
    <w:rsid w:val="0B196A1F"/>
    <w:rsid w:val="0B680A2B"/>
    <w:rsid w:val="0BB2614A"/>
    <w:rsid w:val="0BBA6DAD"/>
    <w:rsid w:val="0C122745"/>
    <w:rsid w:val="0C126BE9"/>
    <w:rsid w:val="0C2D57D1"/>
    <w:rsid w:val="0C2F779B"/>
    <w:rsid w:val="0C4274CE"/>
    <w:rsid w:val="0C6C454B"/>
    <w:rsid w:val="0C721436"/>
    <w:rsid w:val="0C767178"/>
    <w:rsid w:val="0C8F023A"/>
    <w:rsid w:val="0C907F75"/>
    <w:rsid w:val="0CA05FA3"/>
    <w:rsid w:val="0CD65E68"/>
    <w:rsid w:val="0CDF4D1D"/>
    <w:rsid w:val="0CEC2F96"/>
    <w:rsid w:val="0D2941EA"/>
    <w:rsid w:val="0D4A25DE"/>
    <w:rsid w:val="0D682F64"/>
    <w:rsid w:val="0D7A2C98"/>
    <w:rsid w:val="0D8F2005"/>
    <w:rsid w:val="0DA25D4B"/>
    <w:rsid w:val="0DB22432"/>
    <w:rsid w:val="0E06452B"/>
    <w:rsid w:val="0E3177FA"/>
    <w:rsid w:val="0E4C1E01"/>
    <w:rsid w:val="0E6179B4"/>
    <w:rsid w:val="0E7019A5"/>
    <w:rsid w:val="0E770F85"/>
    <w:rsid w:val="0E7771D7"/>
    <w:rsid w:val="0E856D37"/>
    <w:rsid w:val="0E8A0CB9"/>
    <w:rsid w:val="0E8A6104"/>
    <w:rsid w:val="0EAD49A7"/>
    <w:rsid w:val="0EB43F87"/>
    <w:rsid w:val="0ECF2B6F"/>
    <w:rsid w:val="0EDE2DB2"/>
    <w:rsid w:val="0EF820C6"/>
    <w:rsid w:val="0F7554C5"/>
    <w:rsid w:val="0F76748F"/>
    <w:rsid w:val="0F8E2A2A"/>
    <w:rsid w:val="0F955B67"/>
    <w:rsid w:val="0FAE4E7B"/>
    <w:rsid w:val="0FCE1079"/>
    <w:rsid w:val="0FFA3C1C"/>
    <w:rsid w:val="103E1B14"/>
    <w:rsid w:val="10401F77"/>
    <w:rsid w:val="10727C56"/>
    <w:rsid w:val="10BB33AB"/>
    <w:rsid w:val="10CA5CE4"/>
    <w:rsid w:val="115F467E"/>
    <w:rsid w:val="11665A0D"/>
    <w:rsid w:val="11800151"/>
    <w:rsid w:val="11963E18"/>
    <w:rsid w:val="11B12A00"/>
    <w:rsid w:val="12303925"/>
    <w:rsid w:val="12333415"/>
    <w:rsid w:val="12445622"/>
    <w:rsid w:val="124A70DD"/>
    <w:rsid w:val="12597428"/>
    <w:rsid w:val="125A4E46"/>
    <w:rsid w:val="126C1C9E"/>
    <w:rsid w:val="127952CC"/>
    <w:rsid w:val="12850115"/>
    <w:rsid w:val="12AA36D7"/>
    <w:rsid w:val="12CD1ABC"/>
    <w:rsid w:val="12CD73C6"/>
    <w:rsid w:val="12DE7825"/>
    <w:rsid w:val="12E0359D"/>
    <w:rsid w:val="12ED7A68"/>
    <w:rsid w:val="1300779B"/>
    <w:rsid w:val="130628D8"/>
    <w:rsid w:val="13076D7C"/>
    <w:rsid w:val="13247DF6"/>
    <w:rsid w:val="13313DF9"/>
    <w:rsid w:val="1336545A"/>
    <w:rsid w:val="134578A4"/>
    <w:rsid w:val="135875D7"/>
    <w:rsid w:val="13BA2040"/>
    <w:rsid w:val="13EE5846"/>
    <w:rsid w:val="1423079B"/>
    <w:rsid w:val="143D2AC1"/>
    <w:rsid w:val="14890660"/>
    <w:rsid w:val="14922675"/>
    <w:rsid w:val="14982387"/>
    <w:rsid w:val="14CF1B1B"/>
    <w:rsid w:val="14DC60C1"/>
    <w:rsid w:val="14E1184E"/>
    <w:rsid w:val="14ED3D4F"/>
    <w:rsid w:val="15033573"/>
    <w:rsid w:val="15115C90"/>
    <w:rsid w:val="15194B44"/>
    <w:rsid w:val="151E65FF"/>
    <w:rsid w:val="153703EA"/>
    <w:rsid w:val="153C6A85"/>
    <w:rsid w:val="154D47EE"/>
    <w:rsid w:val="15632263"/>
    <w:rsid w:val="157078C5"/>
    <w:rsid w:val="15763D45"/>
    <w:rsid w:val="159E5049"/>
    <w:rsid w:val="15A21A39"/>
    <w:rsid w:val="15DD5B72"/>
    <w:rsid w:val="15E2587E"/>
    <w:rsid w:val="16473933"/>
    <w:rsid w:val="16483824"/>
    <w:rsid w:val="166167A3"/>
    <w:rsid w:val="16774218"/>
    <w:rsid w:val="16B70AB9"/>
    <w:rsid w:val="16D72F09"/>
    <w:rsid w:val="16D927DD"/>
    <w:rsid w:val="16E318AE"/>
    <w:rsid w:val="16F21AF1"/>
    <w:rsid w:val="1723614E"/>
    <w:rsid w:val="17516817"/>
    <w:rsid w:val="17667DE9"/>
    <w:rsid w:val="1767603B"/>
    <w:rsid w:val="17B44FF8"/>
    <w:rsid w:val="17E21B65"/>
    <w:rsid w:val="17F11DA8"/>
    <w:rsid w:val="17F77304"/>
    <w:rsid w:val="182B350C"/>
    <w:rsid w:val="18422604"/>
    <w:rsid w:val="1876405C"/>
    <w:rsid w:val="18A4506D"/>
    <w:rsid w:val="18AB1F57"/>
    <w:rsid w:val="18AD3F21"/>
    <w:rsid w:val="18C63235"/>
    <w:rsid w:val="18EA650C"/>
    <w:rsid w:val="18EB67F8"/>
    <w:rsid w:val="19094ED0"/>
    <w:rsid w:val="191E6BCD"/>
    <w:rsid w:val="19232435"/>
    <w:rsid w:val="192B4E46"/>
    <w:rsid w:val="193E726F"/>
    <w:rsid w:val="19742C91"/>
    <w:rsid w:val="19AA0461"/>
    <w:rsid w:val="19AD7F51"/>
    <w:rsid w:val="19AE7CDD"/>
    <w:rsid w:val="19AF1F1B"/>
    <w:rsid w:val="19C77265"/>
    <w:rsid w:val="19CF088F"/>
    <w:rsid w:val="19EA6AAF"/>
    <w:rsid w:val="19F71136"/>
    <w:rsid w:val="19F85670"/>
    <w:rsid w:val="19FE255B"/>
    <w:rsid w:val="1A0A7151"/>
    <w:rsid w:val="1A1324AA"/>
    <w:rsid w:val="1A8707A2"/>
    <w:rsid w:val="1A8B64E4"/>
    <w:rsid w:val="1A951111"/>
    <w:rsid w:val="1A952EBF"/>
    <w:rsid w:val="1A9B1BB6"/>
    <w:rsid w:val="1ABA2925"/>
    <w:rsid w:val="1AD5150D"/>
    <w:rsid w:val="1AE6371B"/>
    <w:rsid w:val="1AE71241"/>
    <w:rsid w:val="1AF35E37"/>
    <w:rsid w:val="1B0E6672"/>
    <w:rsid w:val="1B32070E"/>
    <w:rsid w:val="1B3E5305"/>
    <w:rsid w:val="1B733B83"/>
    <w:rsid w:val="1BA535D6"/>
    <w:rsid w:val="1BC3580A"/>
    <w:rsid w:val="1BD619E1"/>
    <w:rsid w:val="1BE340FE"/>
    <w:rsid w:val="1BF81957"/>
    <w:rsid w:val="1C1A6B58"/>
    <w:rsid w:val="1C3B7A96"/>
    <w:rsid w:val="1C4306F9"/>
    <w:rsid w:val="1C72096E"/>
    <w:rsid w:val="1CAE0268"/>
    <w:rsid w:val="1CBF06C7"/>
    <w:rsid w:val="1CD31A7D"/>
    <w:rsid w:val="1CDB6B83"/>
    <w:rsid w:val="1CF57C45"/>
    <w:rsid w:val="1D077978"/>
    <w:rsid w:val="1D232A04"/>
    <w:rsid w:val="1D2B3667"/>
    <w:rsid w:val="1D344C9D"/>
    <w:rsid w:val="1D716B1D"/>
    <w:rsid w:val="1D8334A3"/>
    <w:rsid w:val="1D943902"/>
    <w:rsid w:val="1E065FD2"/>
    <w:rsid w:val="1E28404A"/>
    <w:rsid w:val="1E2F53D8"/>
    <w:rsid w:val="1E390005"/>
    <w:rsid w:val="1E3E73CA"/>
    <w:rsid w:val="1E4569AA"/>
    <w:rsid w:val="1E560BB7"/>
    <w:rsid w:val="1E7D6144"/>
    <w:rsid w:val="1E827BFE"/>
    <w:rsid w:val="1E8A260F"/>
    <w:rsid w:val="1E90231B"/>
    <w:rsid w:val="1EA27958"/>
    <w:rsid w:val="1ECC0E79"/>
    <w:rsid w:val="1ECF44C6"/>
    <w:rsid w:val="1F0C1276"/>
    <w:rsid w:val="1F503858"/>
    <w:rsid w:val="1F533349"/>
    <w:rsid w:val="1FA37E2C"/>
    <w:rsid w:val="1FAB6CE1"/>
    <w:rsid w:val="20564E9E"/>
    <w:rsid w:val="205729C5"/>
    <w:rsid w:val="20651585"/>
    <w:rsid w:val="20652BDE"/>
    <w:rsid w:val="206C2914"/>
    <w:rsid w:val="207F2647"/>
    <w:rsid w:val="208512E0"/>
    <w:rsid w:val="208F215E"/>
    <w:rsid w:val="21132D8F"/>
    <w:rsid w:val="2114592F"/>
    <w:rsid w:val="213F3B84"/>
    <w:rsid w:val="218D2B42"/>
    <w:rsid w:val="21A12A78"/>
    <w:rsid w:val="21B005DE"/>
    <w:rsid w:val="21B856E5"/>
    <w:rsid w:val="21BF6A73"/>
    <w:rsid w:val="21D00C81"/>
    <w:rsid w:val="21FF5B5C"/>
    <w:rsid w:val="221E7C3E"/>
    <w:rsid w:val="224D22D1"/>
    <w:rsid w:val="227B299A"/>
    <w:rsid w:val="229D6DB5"/>
    <w:rsid w:val="229E2B2D"/>
    <w:rsid w:val="22AD4B1E"/>
    <w:rsid w:val="22D60519"/>
    <w:rsid w:val="22F64717"/>
    <w:rsid w:val="23571659"/>
    <w:rsid w:val="2369138D"/>
    <w:rsid w:val="23955CDE"/>
    <w:rsid w:val="239857CE"/>
    <w:rsid w:val="23D26F32"/>
    <w:rsid w:val="23DF33FD"/>
    <w:rsid w:val="23E7405F"/>
    <w:rsid w:val="24042E63"/>
    <w:rsid w:val="240E4FD8"/>
    <w:rsid w:val="24101808"/>
    <w:rsid w:val="242F6132"/>
    <w:rsid w:val="24455956"/>
    <w:rsid w:val="244F2331"/>
    <w:rsid w:val="245060A9"/>
    <w:rsid w:val="246102B6"/>
    <w:rsid w:val="24613E12"/>
    <w:rsid w:val="24634610"/>
    <w:rsid w:val="248875F1"/>
    <w:rsid w:val="24AA57B9"/>
    <w:rsid w:val="24EE1B49"/>
    <w:rsid w:val="251F61A7"/>
    <w:rsid w:val="25461985"/>
    <w:rsid w:val="254A2AF8"/>
    <w:rsid w:val="25643BBA"/>
    <w:rsid w:val="25A466AC"/>
    <w:rsid w:val="25A71CF8"/>
    <w:rsid w:val="25B74631"/>
    <w:rsid w:val="25C74149"/>
    <w:rsid w:val="25DC4098"/>
    <w:rsid w:val="25E46F00"/>
    <w:rsid w:val="25E63D23"/>
    <w:rsid w:val="25ED0053"/>
    <w:rsid w:val="26230A1D"/>
    <w:rsid w:val="26345C82"/>
    <w:rsid w:val="265C0D35"/>
    <w:rsid w:val="266B71CA"/>
    <w:rsid w:val="26735D06"/>
    <w:rsid w:val="26867B60"/>
    <w:rsid w:val="269C3827"/>
    <w:rsid w:val="26A76454"/>
    <w:rsid w:val="26A821CC"/>
    <w:rsid w:val="26BA245F"/>
    <w:rsid w:val="26D42FC1"/>
    <w:rsid w:val="26D94133"/>
    <w:rsid w:val="26EF3957"/>
    <w:rsid w:val="26F45411"/>
    <w:rsid w:val="27383550"/>
    <w:rsid w:val="27391076"/>
    <w:rsid w:val="275814FC"/>
    <w:rsid w:val="275B723E"/>
    <w:rsid w:val="27780524"/>
    <w:rsid w:val="27B16E5E"/>
    <w:rsid w:val="27BA3F65"/>
    <w:rsid w:val="27BD1CA7"/>
    <w:rsid w:val="27E45486"/>
    <w:rsid w:val="27E56B08"/>
    <w:rsid w:val="27E965F8"/>
    <w:rsid w:val="27F30B19"/>
    <w:rsid w:val="27FC457D"/>
    <w:rsid w:val="27FD20A3"/>
    <w:rsid w:val="282E04AF"/>
    <w:rsid w:val="283A50A6"/>
    <w:rsid w:val="284303FE"/>
    <w:rsid w:val="28B44E58"/>
    <w:rsid w:val="28B766F6"/>
    <w:rsid w:val="28BE5CD7"/>
    <w:rsid w:val="28C01A4F"/>
    <w:rsid w:val="28C57065"/>
    <w:rsid w:val="28D01566"/>
    <w:rsid w:val="28E13773"/>
    <w:rsid w:val="28E374EB"/>
    <w:rsid w:val="28E62B38"/>
    <w:rsid w:val="293C5E06"/>
    <w:rsid w:val="29634188"/>
    <w:rsid w:val="297D349C"/>
    <w:rsid w:val="29A529F3"/>
    <w:rsid w:val="29EB2AFB"/>
    <w:rsid w:val="2A1A6F3D"/>
    <w:rsid w:val="2A21651D"/>
    <w:rsid w:val="2A2B114A"/>
    <w:rsid w:val="2A41096D"/>
    <w:rsid w:val="2A5561C7"/>
    <w:rsid w:val="2A9A62D0"/>
    <w:rsid w:val="2A9F5694"/>
    <w:rsid w:val="2ABB1BCF"/>
    <w:rsid w:val="2ACA2711"/>
    <w:rsid w:val="2AD0584D"/>
    <w:rsid w:val="2AED4651"/>
    <w:rsid w:val="2AFB4FC0"/>
    <w:rsid w:val="2B3C09CB"/>
    <w:rsid w:val="2B492C7D"/>
    <w:rsid w:val="2B4C1378"/>
    <w:rsid w:val="2B593A95"/>
    <w:rsid w:val="2B597F39"/>
    <w:rsid w:val="2BBB02AC"/>
    <w:rsid w:val="2BC2163A"/>
    <w:rsid w:val="2BCE4483"/>
    <w:rsid w:val="2BFD2672"/>
    <w:rsid w:val="2C324A12"/>
    <w:rsid w:val="2C5F50DB"/>
    <w:rsid w:val="2C9A2ABC"/>
    <w:rsid w:val="2CB25B52"/>
    <w:rsid w:val="2CF77A09"/>
    <w:rsid w:val="2D281971"/>
    <w:rsid w:val="2D686211"/>
    <w:rsid w:val="2DB33930"/>
    <w:rsid w:val="2DCC054E"/>
    <w:rsid w:val="2DCC49F2"/>
    <w:rsid w:val="2DFA155F"/>
    <w:rsid w:val="2E5112B4"/>
    <w:rsid w:val="2E862DF3"/>
    <w:rsid w:val="2E9C2616"/>
    <w:rsid w:val="2EA30912"/>
    <w:rsid w:val="2EA96AE1"/>
    <w:rsid w:val="2EB536D8"/>
    <w:rsid w:val="2F2820FC"/>
    <w:rsid w:val="2F4A2072"/>
    <w:rsid w:val="2FA63021"/>
    <w:rsid w:val="2FC55770"/>
    <w:rsid w:val="2FF9F2FF"/>
    <w:rsid w:val="30077F63"/>
    <w:rsid w:val="300E12F2"/>
    <w:rsid w:val="3016768F"/>
    <w:rsid w:val="303348B4"/>
    <w:rsid w:val="3049232A"/>
    <w:rsid w:val="30896BCA"/>
    <w:rsid w:val="30B05F05"/>
    <w:rsid w:val="30B31E99"/>
    <w:rsid w:val="30BC6FA0"/>
    <w:rsid w:val="30C16364"/>
    <w:rsid w:val="30DA11D4"/>
    <w:rsid w:val="30FC114A"/>
    <w:rsid w:val="313B4368"/>
    <w:rsid w:val="314B0324"/>
    <w:rsid w:val="31557399"/>
    <w:rsid w:val="3190225F"/>
    <w:rsid w:val="31C559E0"/>
    <w:rsid w:val="31DB5204"/>
    <w:rsid w:val="31DE6AA2"/>
    <w:rsid w:val="31E71DFA"/>
    <w:rsid w:val="320A3D3B"/>
    <w:rsid w:val="321E1594"/>
    <w:rsid w:val="3240150B"/>
    <w:rsid w:val="324803BF"/>
    <w:rsid w:val="32764F2C"/>
    <w:rsid w:val="32891103"/>
    <w:rsid w:val="32D33B70"/>
    <w:rsid w:val="32DC7485"/>
    <w:rsid w:val="32EC3440"/>
    <w:rsid w:val="32FF4F22"/>
    <w:rsid w:val="330662B0"/>
    <w:rsid w:val="331A61FF"/>
    <w:rsid w:val="33323549"/>
    <w:rsid w:val="336F654B"/>
    <w:rsid w:val="33791178"/>
    <w:rsid w:val="33A361F5"/>
    <w:rsid w:val="33AF6948"/>
    <w:rsid w:val="33B977C6"/>
    <w:rsid w:val="33D33712"/>
    <w:rsid w:val="33EC1D49"/>
    <w:rsid w:val="33ED56C2"/>
    <w:rsid w:val="342F2598"/>
    <w:rsid w:val="343706EB"/>
    <w:rsid w:val="34384B8F"/>
    <w:rsid w:val="343B0632"/>
    <w:rsid w:val="343D03F7"/>
    <w:rsid w:val="34480B4A"/>
    <w:rsid w:val="344D6161"/>
    <w:rsid w:val="3482405C"/>
    <w:rsid w:val="349164F4"/>
    <w:rsid w:val="34A51AF9"/>
    <w:rsid w:val="34B166F0"/>
    <w:rsid w:val="34E15227"/>
    <w:rsid w:val="34F52A80"/>
    <w:rsid w:val="352549E8"/>
    <w:rsid w:val="352944D8"/>
    <w:rsid w:val="35343375"/>
    <w:rsid w:val="35727C2D"/>
    <w:rsid w:val="3578720D"/>
    <w:rsid w:val="359009FB"/>
    <w:rsid w:val="35A87AF3"/>
    <w:rsid w:val="35B20971"/>
    <w:rsid w:val="35B46497"/>
    <w:rsid w:val="35ED19A9"/>
    <w:rsid w:val="35FB2318"/>
    <w:rsid w:val="360A2F17"/>
    <w:rsid w:val="360F7B72"/>
    <w:rsid w:val="361C403D"/>
    <w:rsid w:val="367E6AA5"/>
    <w:rsid w:val="367F4CF7"/>
    <w:rsid w:val="368A544A"/>
    <w:rsid w:val="36A71B58"/>
    <w:rsid w:val="36B74991"/>
    <w:rsid w:val="36C46BAE"/>
    <w:rsid w:val="37304C6F"/>
    <w:rsid w:val="373A29CC"/>
    <w:rsid w:val="376143FD"/>
    <w:rsid w:val="377C4D93"/>
    <w:rsid w:val="3795391D"/>
    <w:rsid w:val="37977E1F"/>
    <w:rsid w:val="37E42938"/>
    <w:rsid w:val="37E949F6"/>
    <w:rsid w:val="37EA43F2"/>
    <w:rsid w:val="37F93A65"/>
    <w:rsid w:val="38213B8C"/>
    <w:rsid w:val="38270529"/>
    <w:rsid w:val="384635F3"/>
    <w:rsid w:val="385E26EA"/>
    <w:rsid w:val="385F708A"/>
    <w:rsid w:val="389D76B7"/>
    <w:rsid w:val="38BC6A26"/>
    <w:rsid w:val="38C8225A"/>
    <w:rsid w:val="38D40BFF"/>
    <w:rsid w:val="38D97FC3"/>
    <w:rsid w:val="38E452E6"/>
    <w:rsid w:val="38E47094"/>
    <w:rsid w:val="38EE1CC0"/>
    <w:rsid w:val="38FD0155"/>
    <w:rsid w:val="393671C3"/>
    <w:rsid w:val="39551D3F"/>
    <w:rsid w:val="39C32E3E"/>
    <w:rsid w:val="39C80763"/>
    <w:rsid w:val="39FD5F33"/>
    <w:rsid w:val="3A0E0140"/>
    <w:rsid w:val="3A1219DE"/>
    <w:rsid w:val="3A2B6F44"/>
    <w:rsid w:val="3A3B3117"/>
    <w:rsid w:val="3A577D39"/>
    <w:rsid w:val="3A9B19D4"/>
    <w:rsid w:val="3ACC6031"/>
    <w:rsid w:val="3ADE7B13"/>
    <w:rsid w:val="3B00217F"/>
    <w:rsid w:val="3B056063"/>
    <w:rsid w:val="3B075469"/>
    <w:rsid w:val="3B077069"/>
    <w:rsid w:val="3B1A3241"/>
    <w:rsid w:val="3B27770B"/>
    <w:rsid w:val="3B304812"/>
    <w:rsid w:val="3B6E70E8"/>
    <w:rsid w:val="3B787F67"/>
    <w:rsid w:val="3BC1190E"/>
    <w:rsid w:val="3BF35840"/>
    <w:rsid w:val="3BFA0552"/>
    <w:rsid w:val="3C036D07"/>
    <w:rsid w:val="3C1C6B44"/>
    <w:rsid w:val="3C320116"/>
    <w:rsid w:val="3C355E58"/>
    <w:rsid w:val="3C4A0AB4"/>
    <w:rsid w:val="3C544530"/>
    <w:rsid w:val="3C746980"/>
    <w:rsid w:val="3C7B7D0F"/>
    <w:rsid w:val="3C830972"/>
    <w:rsid w:val="3C9B3F0D"/>
    <w:rsid w:val="3C9C7C85"/>
    <w:rsid w:val="3C9E1C4F"/>
    <w:rsid w:val="3CBC7891"/>
    <w:rsid w:val="3CF03B2D"/>
    <w:rsid w:val="3CF8135F"/>
    <w:rsid w:val="3D247F57"/>
    <w:rsid w:val="3D581DFE"/>
    <w:rsid w:val="3D7B6A6D"/>
    <w:rsid w:val="3D894F96"/>
    <w:rsid w:val="3D8E75CE"/>
    <w:rsid w:val="3D9B7F3D"/>
    <w:rsid w:val="3DBB658F"/>
    <w:rsid w:val="3DBF1E7D"/>
    <w:rsid w:val="3DCB25D0"/>
    <w:rsid w:val="3DCD6F06"/>
    <w:rsid w:val="3DDB686C"/>
    <w:rsid w:val="3DDC7912"/>
    <w:rsid w:val="3DF80EEB"/>
    <w:rsid w:val="3DFF04CC"/>
    <w:rsid w:val="3E133F77"/>
    <w:rsid w:val="3E463FE1"/>
    <w:rsid w:val="3E691DE9"/>
    <w:rsid w:val="3EB70DA6"/>
    <w:rsid w:val="3EC51715"/>
    <w:rsid w:val="3EE020AB"/>
    <w:rsid w:val="3EF73899"/>
    <w:rsid w:val="3EFE4C27"/>
    <w:rsid w:val="3F051B12"/>
    <w:rsid w:val="3F165ACD"/>
    <w:rsid w:val="3F3D56D4"/>
    <w:rsid w:val="3F714D12"/>
    <w:rsid w:val="3F980596"/>
    <w:rsid w:val="3FC70E3B"/>
    <w:rsid w:val="3FE1257F"/>
    <w:rsid w:val="3FF658FE"/>
    <w:rsid w:val="3FF83425"/>
    <w:rsid w:val="3FFD1815"/>
    <w:rsid w:val="40381A73"/>
    <w:rsid w:val="40694322"/>
    <w:rsid w:val="40736F4F"/>
    <w:rsid w:val="40774C91"/>
    <w:rsid w:val="40805871"/>
    <w:rsid w:val="40852CCD"/>
    <w:rsid w:val="408847A8"/>
    <w:rsid w:val="4090365D"/>
    <w:rsid w:val="40BC08F6"/>
    <w:rsid w:val="40DF6392"/>
    <w:rsid w:val="40EF2A79"/>
    <w:rsid w:val="41546D80"/>
    <w:rsid w:val="4157061F"/>
    <w:rsid w:val="41597EF3"/>
    <w:rsid w:val="41654AEA"/>
    <w:rsid w:val="417967E7"/>
    <w:rsid w:val="41961147"/>
    <w:rsid w:val="41C31810"/>
    <w:rsid w:val="41EE4ADF"/>
    <w:rsid w:val="42334BE8"/>
    <w:rsid w:val="428471F1"/>
    <w:rsid w:val="42864D18"/>
    <w:rsid w:val="428B18EF"/>
    <w:rsid w:val="429531AD"/>
    <w:rsid w:val="42AB29D0"/>
    <w:rsid w:val="42C910A8"/>
    <w:rsid w:val="42DA32B5"/>
    <w:rsid w:val="42EE0B0F"/>
    <w:rsid w:val="43171E14"/>
    <w:rsid w:val="431E7646"/>
    <w:rsid w:val="432B1D63"/>
    <w:rsid w:val="434D1CD9"/>
    <w:rsid w:val="43707776"/>
    <w:rsid w:val="437B23A2"/>
    <w:rsid w:val="437E6337"/>
    <w:rsid w:val="43BB4E95"/>
    <w:rsid w:val="43CC52F4"/>
    <w:rsid w:val="43DF5027"/>
    <w:rsid w:val="43FF1225"/>
    <w:rsid w:val="440700DA"/>
    <w:rsid w:val="44114AB5"/>
    <w:rsid w:val="444162D1"/>
    <w:rsid w:val="44703ED1"/>
    <w:rsid w:val="44705C7F"/>
    <w:rsid w:val="44872FC9"/>
    <w:rsid w:val="4488746D"/>
    <w:rsid w:val="448C6831"/>
    <w:rsid w:val="449556E6"/>
    <w:rsid w:val="449851D6"/>
    <w:rsid w:val="44D51F86"/>
    <w:rsid w:val="44D75CFE"/>
    <w:rsid w:val="44E95A32"/>
    <w:rsid w:val="450929D1"/>
    <w:rsid w:val="455C7EDF"/>
    <w:rsid w:val="4565330A"/>
    <w:rsid w:val="45674F69"/>
    <w:rsid w:val="456B28EB"/>
    <w:rsid w:val="457C68A6"/>
    <w:rsid w:val="45811396"/>
    <w:rsid w:val="459F01C4"/>
    <w:rsid w:val="45C75D73"/>
    <w:rsid w:val="461C0068"/>
    <w:rsid w:val="464F4558"/>
    <w:rsid w:val="46517D32"/>
    <w:rsid w:val="46AC3611"/>
    <w:rsid w:val="46B300A5"/>
    <w:rsid w:val="46BB75EC"/>
    <w:rsid w:val="46CC73B9"/>
    <w:rsid w:val="46D70238"/>
    <w:rsid w:val="46F61BD1"/>
    <w:rsid w:val="470152B5"/>
    <w:rsid w:val="47017063"/>
    <w:rsid w:val="471825FE"/>
    <w:rsid w:val="47C14A44"/>
    <w:rsid w:val="47C85DD2"/>
    <w:rsid w:val="47DE2299"/>
    <w:rsid w:val="480037BE"/>
    <w:rsid w:val="4803505C"/>
    <w:rsid w:val="480A0199"/>
    <w:rsid w:val="481334F1"/>
    <w:rsid w:val="48D04F3E"/>
    <w:rsid w:val="48D80297"/>
    <w:rsid w:val="491D5CAA"/>
    <w:rsid w:val="49396F88"/>
    <w:rsid w:val="49531C23"/>
    <w:rsid w:val="49663AF5"/>
    <w:rsid w:val="49667651"/>
    <w:rsid w:val="497A75A0"/>
    <w:rsid w:val="49A5461D"/>
    <w:rsid w:val="49B764FC"/>
    <w:rsid w:val="49C56A6D"/>
    <w:rsid w:val="49CA5E32"/>
    <w:rsid w:val="4A1249F6"/>
    <w:rsid w:val="4A190B67"/>
    <w:rsid w:val="4A227A1C"/>
    <w:rsid w:val="4A6F2535"/>
    <w:rsid w:val="4A963F66"/>
    <w:rsid w:val="4A9D3546"/>
    <w:rsid w:val="4AB34B18"/>
    <w:rsid w:val="4AEE3DA2"/>
    <w:rsid w:val="4AF8077D"/>
    <w:rsid w:val="4AF84C20"/>
    <w:rsid w:val="4B103D18"/>
    <w:rsid w:val="4B427C4A"/>
    <w:rsid w:val="4B6642EC"/>
    <w:rsid w:val="4B893ACB"/>
    <w:rsid w:val="4BB52B12"/>
    <w:rsid w:val="4BC6087B"/>
    <w:rsid w:val="4BC82845"/>
    <w:rsid w:val="4BCB5E91"/>
    <w:rsid w:val="4C06511B"/>
    <w:rsid w:val="4C312198"/>
    <w:rsid w:val="4C324162"/>
    <w:rsid w:val="4C371778"/>
    <w:rsid w:val="4C6F0F12"/>
    <w:rsid w:val="4C7327B1"/>
    <w:rsid w:val="4C771B75"/>
    <w:rsid w:val="4CA54934"/>
    <w:rsid w:val="4CA87F80"/>
    <w:rsid w:val="4CD174D7"/>
    <w:rsid w:val="4CEC4311"/>
    <w:rsid w:val="4CFA4C80"/>
    <w:rsid w:val="4D0B6926"/>
    <w:rsid w:val="4D704F42"/>
    <w:rsid w:val="4DD76D6F"/>
    <w:rsid w:val="4E1750B0"/>
    <w:rsid w:val="4E1C6E78"/>
    <w:rsid w:val="4EAD7AD0"/>
    <w:rsid w:val="4EB96475"/>
    <w:rsid w:val="4F1B0EDE"/>
    <w:rsid w:val="4F1D07B2"/>
    <w:rsid w:val="4F361873"/>
    <w:rsid w:val="4F400944"/>
    <w:rsid w:val="4F455F5A"/>
    <w:rsid w:val="4F5D5E43"/>
    <w:rsid w:val="4F6E3703"/>
    <w:rsid w:val="4F734876"/>
    <w:rsid w:val="4F846A83"/>
    <w:rsid w:val="4F8B6063"/>
    <w:rsid w:val="4FAC7D88"/>
    <w:rsid w:val="5023629C"/>
    <w:rsid w:val="507D3D1D"/>
    <w:rsid w:val="50811214"/>
    <w:rsid w:val="50A05B3E"/>
    <w:rsid w:val="50E67EC9"/>
    <w:rsid w:val="51037E7B"/>
    <w:rsid w:val="5184487E"/>
    <w:rsid w:val="518C7E71"/>
    <w:rsid w:val="51907961"/>
    <w:rsid w:val="519A258E"/>
    <w:rsid w:val="51A27694"/>
    <w:rsid w:val="51D3784E"/>
    <w:rsid w:val="52067C23"/>
    <w:rsid w:val="52181704"/>
    <w:rsid w:val="52552958"/>
    <w:rsid w:val="5281374D"/>
    <w:rsid w:val="528D3097"/>
    <w:rsid w:val="52933407"/>
    <w:rsid w:val="52B148E6"/>
    <w:rsid w:val="52B62C5C"/>
    <w:rsid w:val="52E302F6"/>
    <w:rsid w:val="52E6664C"/>
    <w:rsid w:val="52FD1026"/>
    <w:rsid w:val="530028C4"/>
    <w:rsid w:val="530F2B07"/>
    <w:rsid w:val="538243D9"/>
    <w:rsid w:val="53B316E5"/>
    <w:rsid w:val="53BF452D"/>
    <w:rsid w:val="540006A2"/>
    <w:rsid w:val="54273293"/>
    <w:rsid w:val="54505185"/>
    <w:rsid w:val="545C3B2A"/>
    <w:rsid w:val="54680721"/>
    <w:rsid w:val="548D462B"/>
    <w:rsid w:val="54B12F4C"/>
    <w:rsid w:val="54EF2BF0"/>
    <w:rsid w:val="55236D3E"/>
    <w:rsid w:val="5547484B"/>
    <w:rsid w:val="555869E7"/>
    <w:rsid w:val="55877239"/>
    <w:rsid w:val="55B654BC"/>
    <w:rsid w:val="55E95892"/>
    <w:rsid w:val="56051FA0"/>
    <w:rsid w:val="562B40FC"/>
    <w:rsid w:val="566B44F9"/>
    <w:rsid w:val="566F34AD"/>
    <w:rsid w:val="56861332"/>
    <w:rsid w:val="569F6CEC"/>
    <w:rsid w:val="56B22127"/>
    <w:rsid w:val="56B714EC"/>
    <w:rsid w:val="57062473"/>
    <w:rsid w:val="57212E09"/>
    <w:rsid w:val="5725640F"/>
    <w:rsid w:val="572D17AE"/>
    <w:rsid w:val="572E5D14"/>
    <w:rsid w:val="57392849"/>
    <w:rsid w:val="574134AB"/>
    <w:rsid w:val="574975DB"/>
    <w:rsid w:val="576553EC"/>
    <w:rsid w:val="576D42A0"/>
    <w:rsid w:val="576F0018"/>
    <w:rsid w:val="577B076B"/>
    <w:rsid w:val="578F4217"/>
    <w:rsid w:val="57961A49"/>
    <w:rsid w:val="57B63E99"/>
    <w:rsid w:val="57E55658"/>
    <w:rsid w:val="57F72DE5"/>
    <w:rsid w:val="58346B6C"/>
    <w:rsid w:val="5838665C"/>
    <w:rsid w:val="585F008D"/>
    <w:rsid w:val="58692CBA"/>
    <w:rsid w:val="589E6E07"/>
    <w:rsid w:val="58B101BD"/>
    <w:rsid w:val="58DE5456"/>
    <w:rsid w:val="58F702C5"/>
    <w:rsid w:val="58FA7DB6"/>
    <w:rsid w:val="58FF53CC"/>
    <w:rsid w:val="594828CF"/>
    <w:rsid w:val="596D4A2C"/>
    <w:rsid w:val="59C7413C"/>
    <w:rsid w:val="59E37285"/>
    <w:rsid w:val="59EE6F11"/>
    <w:rsid w:val="5A1A070F"/>
    <w:rsid w:val="5A203AE8"/>
    <w:rsid w:val="5A317807"/>
    <w:rsid w:val="5A3317D1"/>
    <w:rsid w:val="5A3D61AC"/>
    <w:rsid w:val="5A3D7B25"/>
    <w:rsid w:val="5A6E2809"/>
    <w:rsid w:val="5A8B15BB"/>
    <w:rsid w:val="5A8C0EE1"/>
    <w:rsid w:val="5A8E6A07"/>
    <w:rsid w:val="5AD07020"/>
    <w:rsid w:val="5AF42709"/>
    <w:rsid w:val="5B1C4013"/>
    <w:rsid w:val="5BA04C44"/>
    <w:rsid w:val="5BF154A0"/>
    <w:rsid w:val="5C2F5FC8"/>
    <w:rsid w:val="5C3A0EAF"/>
    <w:rsid w:val="5C427AAA"/>
    <w:rsid w:val="5C473312"/>
    <w:rsid w:val="5C5607D4"/>
    <w:rsid w:val="5C6E4D42"/>
    <w:rsid w:val="5CA442C0"/>
    <w:rsid w:val="5CAE513F"/>
    <w:rsid w:val="5CD31049"/>
    <w:rsid w:val="5CDF79EE"/>
    <w:rsid w:val="5D064F7B"/>
    <w:rsid w:val="5D16223E"/>
    <w:rsid w:val="5D215911"/>
    <w:rsid w:val="5D3312D4"/>
    <w:rsid w:val="5D431D2B"/>
    <w:rsid w:val="5D6F0D72"/>
    <w:rsid w:val="5D704AEA"/>
    <w:rsid w:val="5DA86032"/>
    <w:rsid w:val="5DAA7FFC"/>
    <w:rsid w:val="5DD15589"/>
    <w:rsid w:val="5DD62B9F"/>
    <w:rsid w:val="5DD92690"/>
    <w:rsid w:val="5DE84681"/>
    <w:rsid w:val="5E062D59"/>
    <w:rsid w:val="5E0F1C0D"/>
    <w:rsid w:val="5E2751A9"/>
    <w:rsid w:val="5E282CCF"/>
    <w:rsid w:val="5E5B4E53"/>
    <w:rsid w:val="5E5F0DE7"/>
    <w:rsid w:val="5E8C5954"/>
    <w:rsid w:val="5E9652BC"/>
    <w:rsid w:val="5EC944B2"/>
    <w:rsid w:val="5ECC3FA2"/>
    <w:rsid w:val="5EDB4222"/>
    <w:rsid w:val="5EE412EC"/>
    <w:rsid w:val="5EF86B45"/>
    <w:rsid w:val="5F4B3119"/>
    <w:rsid w:val="5F5B3D80"/>
    <w:rsid w:val="5F742670"/>
    <w:rsid w:val="5FA8056B"/>
    <w:rsid w:val="5FB430A2"/>
    <w:rsid w:val="5FEA0B84"/>
    <w:rsid w:val="600339F4"/>
    <w:rsid w:val="600720F9"/>
    <w:rsid w:val="601B2AEB"/>
    <w:rsid w:val="60487659"/>
    <w:rsid w:val="605361DC"/>
    <w:rsid w:val="60600615"/>
    <w:rsid w:val="606326E4"/>
    <w:rsid w:val="606721D5"/>
    <w:rsid w:val="60687CFB"/>
    <w:rsid w:val="6074044E"/>
    <w:rsid w:val="608F7035"/>
    <w:rsid w:val="60907386"/>
    <w:rsid w:val="60AC7BE7"/>
    <w:rsid w:val="60AD570E"/>
    <w:rsid w:val="60BE791B"/>
    <w:rsid w:val="60BF0E44"/>
    <w:rsid w:val="611834CF"/>
    <w:rsid w:val="612105D5"/>
    <w:rsid w:val="612C39D0"/>
    <w:rsid w:val="616B1851"/>
    <w:rsid w:val="618446C0"/>
    <w:rsid w:val="619F599E"/>
    <w:rsid w:val="61A134C4"/>
    <w:rsid w:val="61C54AA6"/>
    <w:rsid w:val="61DF3FED"/>
    <w:rsid w:val="62143C96"/>
    <w:rsid w:val="622371B4"/>
    <w:rsid w:val="62791D4B"/>
    <w:rsid w:val="627D7A8D"/>
    <w:rsid w:val="62BB2364"/>
    <w:rsid w:val="62CB5118"/>
    <w:rsid w:val="62CD2097"/>
    <w:rsid w:val="630737FB"/>
    <w:rsid w:val="637349EC"/>
    <w:rsid w:val="63862972"/>
    <w:rsid w:val="63C811DC"/>
    <w:rsid w:val="63F024E1"/>
    <w:rsid w:val="63F773CC"/>
    <w:rsid w:val="641937E6"/>
    <w:rsid w:val="64287ECD"/>
    <w:rsid w:val="646C600B"/>
    <w:rsid w:val="646F08D5"/>
    <w:rsid w:val="648570CD"/>
    <w:rsid w:val="64B4350F"/>
    <w:rsid w:val="64BE438D"/>
    <w:rsid w:val="64C01EB3"/>
    <w:rsid w:val="64FC096B"/>
    <w:rsid w:val="64FF0C2E"/>
    <w:rsid w:val="65031DA0"/>
    <w:rsid w:val="653308D7"/>
    <w:rsid w:val="65476131"/>
    <w:rsid w:val="654C1999"/>
    <w:rsid w:val="65736F26"/>
    <w:rsid w:val="65750EF0"/>
    <w:rsid w:val="6587477F"/>
    <w:rsid w:val="65A672FB"/>
    <w:rsid w:val="65B97A45"/>
    <w:rsid w:val="6638708E"/>
    <w:rsid w:val="66507267"/>
    <w:rsid w:val="669A02FC"/>
    <w:rsid w:val="66A035B5"/>
    <w:rsid w:val="66AF0E04"/>
    <w:rsid w:val="66B75538"/>
    <w:rsid w:val="66BC48FC"/>
    <w:rsid w:val="66BE0674"/>
    <w:rsid w:val="66DB2FD4"/>
    <w:rsid w:val="66E75E1D"/>
    <w:rsid w:val="6721015F"/>
    <w:rsid w:val="67324970"/>
    <w:rsid w:val="673821D5"/>
    <w:rsid w:val="67566AFF"/>
    <w:rsid w:val="675D7E8D"/>
    <w:rsid w:val="676A6106"/>
    <w:rsid w:val="676E209B"/>
    <w:rsid w:val="676E5BF7"/>
    <w:rsid w:val="677551D7"/>
    <w:rsid w:val="678216A2"/>
    <w:rsid w:val="67896ED4"/>
    <w:rsid w:val="678E0047"/>
    <w:rsid w:val="67E55B77"/>
    <w:rsid w:val="68262975"/>
    <w:rsid w:val="68810EA4"/>
    <w:rsid w:val="68AA1B3F"/>
    <w:rsid w:val="68C90380"/>
    <w:rsid w:val="68EA39A3"/>
    <w:rsid w:val="68FF5F7C"/>
    <w:rsid w:val="693B41FE"/>
    <w:rsid w:val="6942558D"/>
    <w:rsid w:val="695928D6"/>
    <w:rsid w:val="69670B4F"/>
    <w:rsid w:val="699911C9"/>
    <w:rsid w:val="69A36EF6"/>
    <w:rsid w:val="69BD4C13"/>
    <w:rsid w:val="6A136F29"/>
    <w:rsid w:val="6A2133F4"/>
    <w:rsid w:val="6A49294B"/>
    <w:rsid w:val="6A582B8E"/>
    <w:rsid w:val="6A794FDE"/>
    <w:rsid w:val="6AC83870"/>
    <w:rsid w:val="6ADC731B"/>
    <w:rsid w:val="6AFE7291"/>
    <w:rsid w:val="6B340F05"/>
    <w:rsid w:val="6B607F4C"/>
    <w:rsid w:val="6B8A321B"/>
    <w:rsid w:val="6B9320D0"/>
    <w:rsid w:val="6B96571C"/>
    <w:rsid w:val="6B9A16B0"/>
    <w:rsid w:val="6BFB7C75"/>
    <w:rsid w:val="6C136D6D"/>
    <w:rsid w:val="6C5F1FB2"/>
    <w:rsid w:val="6C6B0957"/>
    <w:rsid w:val="6C6C4EF1"/>
    <w:rsid w:val="6C9A123C"/>
    <w:rsid w:val="6C9A748E"/>
    <w:rsid w:val="6CBB2471"/>
    <w:rsid w:val="6CC664D5"/>
    <w:rsid w:val="6CF1623B"/>
    <w:rsid w:val="6CFA577E"/>
    <w:rsid w:val="6D0112BB"/>
    <w:rsid w:val="6D3C0545"/>
    <w:rsid w:val="6D415B5B"/>
    <w:rsid w:val="6D635AD2"/>
    <w:rsid w:val="6D6535F8"/>
    <w:rsid w:val="6DAC1227"/>
    <w:rsid w:val="6DAD4F9F"/>
    <w:rsid w:val="6DC5678C"/>
    <w:rsid w:val="6DD15131"/>
    <w:rsid w:val="6DFD7CD4"/>
    <w:rsid w:val="6E1C068B"/>
    <w:rsid w:val="6E26547D"/>
    <w:rsid w:val="6E2B2A93"/>
    <w:rsid w:val="6E645FA5"/>
    <w:rsid w:val="6E9817AB"/>
    <w:rsid w:val="6E9F0D8B"/>
    <w:rsid w:val="6EAA19C6"/>
    <w:rsid w:val="6EB32A89"/>
    <w:rsid w:val="6EC30F1E"/>
    <w:rsid w:val="6EC46A44"/>
    <w:rsid w:val="6F084B83"/>
    <w:rsid w:val="6F0A3480"/>
    <w:rsid w:val="6F0B4673"/>
    <w:rsid w:val="6F103A37"/>
    <w:rsid w:val="6F4831D1"/>
    <w:rsid w:val="6F7F3760"/>
    <w:rsid w:val="6F857F81"/>
    <w:rsid w:val="6F8D6E36"/>
    <w:rsid w:val="6FAA79E8"/>
    <w:rsid w:val="6FF13869"/>
    <w:rsid w:val="6FFC2523"/>
    <w:rsid w:val="70131A31"/>
    <w:rsid w:val="70313C65"/>
    <w:rsid w:val="704E2A69"/>
    <w:rsid w:val="707B75D6"/>
    <w:rsid w:val="70A95EF1"/>
    <w:rsid w:val="70CB40BA"/>
    <w:rsid w:val="70D94A29"/>
    <w:rsid w:val="70EB650A"/>
    <w:rsid w:val="70F4480B"/>
    <w:rsid w:val="710A6611"/>
    <w:rsid w:val="711772FF"/>
    <w:rsid w:val="71494FDF"/>
    <w:rsid w:val="714D2D21"/>
    <w:rsid w:val="715671C7"/>
    <w:rsid w:val="71681A1D"/>
    <w:rsid w:val="716C0423"/>
    <w:rsid w:val="71864485"/>
    <w:rsid w:val="71BA7C8A"/>
    <w:rsid w:val="7205184D"/>
    <w:rsid w:val="720535FB"/>
    <w:rsid w:val="72121874"/>
    <w:rsid w:val="721675B7"/>
    <w:rsid w:val="722A3062"/>
    <w:rsid w:val="722F2426"/>
    <w:rsid w:val="724203AC"/>
    <w:rsid w:val="724404EA"/>
    <w:rsid w:val="725027BD"/>
    <w:rsid w:val="729055BB"/>
    <w:rsid w:val="72B56DCF"/>
    <w:rsid w:val="72E158F4"/>
    <w:rsid w:val="72E749B9"/>
    <w:rsid w:val="72EE5E3E"/>
    <w:rsid w:val="72F53670"/>
    <w:rsid w:val="7306762B"/>
    <w:rsid w:val="73125FD0"/>
    <w:rsid w:val="731A2940"/>
    <w:rsid w:val="73393694"/>
    <w:rsid w:val="733D5F87"/>
    <w:rsid w:val="734168B5"/>
    <w:rsid w:val="734C4BE3"/>
    <w:rsid w:val="735B7FA5"/>
    <w:rsid w:val="739A7D73"/>
    <w:rsid w:val="739B4217"/>
    <w:rsid w:val="73AF1A71"/>
    <w:rsid w:val="73C80D84"/>
    <w:rsid w:val="73CA0659"/>
    <w:rsid w:val="74324450"/>
    <w:rsid w:val="74343D24"/>
    <w:rsid w:val="743A41DE"/>
    <w:rsid w:val="74A76BEC"/>
    <w:rsid w:val="74E90206"/>
    <w:rsid w:val="74F71921"/>
    <w:rsid w:val="75375EDA"/>
    <w:rsid w:val="754045EC"/>
    <w:rsid w:val="754D7793"/>
    <w:rsid w:val="756B7C19"/>
    <w:rsid w:val="75750A98"/>
    <w:rsid w:val="758B206A"/>
    <w:rsid w:val="758D5DE2"/>
    <w:rsid w:val="75A1363B"/>
    <w:rsid w:val="75A20E0D"/>
    <w:rsid w:val="75B82733"/>
    <w:rsid w:val="75F714AD"/>
    <w:rsid w:val="76143E0D"/>
    <w:rsid w:val="76257098"/>
    <w:rsid w:val="762C55FB"/>
    <w:rsid w:val="76375D4D"/>
    <w:rsid w:val="764463F3"/>
    <w:rsid w:val="76685F07"/>
    <w:rsid w:val="76982C90"/>
    <w:rsid w:val="76A038F3"/>
    <w:rsid w:val="76A47FCC"/>
    <w:rsid w:val="76AA651F"/>
    <w:rsid w:val="76DF266D"/>
    <w:rsid w:val="76EE3D27"/>
    <w:rsid w:val="76F61765"/>
    <w:rsid w:val="771F7C5E"/>
    <w:rsid w:val="77387FCF"/>
    <w:rsid w:val="776112D4"/>
    <w:rsid w:val="77640DC4"/>
    <w:rsid w:val="777D1E86"/>
    <w:rsid w:val="77950F7E"/>
    <w:rsid w:val="779D1ECC"/>
    <w:rsid w:val="77A613DD"/>
    <w:rsid w:val="77D05827"/>
    <w:rsid w:val="7856695F"/>
    <w:rsid w:val="787850B3"/>
    <w:rsid w:val="78811502"/>
    <w:rsid w:val="788D60F9"/>
    <w:rsid w:val="78911745"/>
    <w:rsid w:val="789D27E0"/>
    <w:rsid w:val="78BE4504"/>
    <w:rsid w:val="79386064"/>
    <w:rsid w:val="79425135"/>
    <w:rsid w:val="794669D3"/>
    <w:rsid w:val="794744F9"/>
    <w:rsid w:val="79733540"/>
    <w:rsid w:val="79780B57"/>
    <w:rsid w:val="79865022"/>
    <w:rsid w:val="799429A1"/>
    <w:rsid w:val="79DFB48E"/>
    <w:rsid w:val="79FD53F2"/>
    <w:rsid w:val="7A010B4C"/>
    <w:rsid w:val="7A0917AF"/>
    <w:rsid w:val="7A170370"/>
    <w:rsid w:val="7A8D418E"/>
    <w:rsid w:val="7A9E639B"/>
    <w:rsid w:val="7B1D19B6"/>
    <w:rsid w:val="7B4231CA"/>
    <w:rsid w:val="7B452CBB"/>
    <w:rsid w:val="7B4A6771"/>
    <w:rsid w:val="7B4D690B"/>
    <w:rsid w:val="7B580C40"/>
    <w:rsid w:val="7B5E4E76"/>
    <w:rsid w:val="7B642B3C"/>
    <w:rsid w:val="7BA9149B"/>
    <w:rsid w:val="7BB5399C"/>
    <w:rsid w:val="7BBF2A6D"/>
    <w:rsid w:val="7BC768BC"/>
    <w:rsid w:val="7BE032BD"/>
    <w:rsid w:val="7BFF2E69"/>
    <w:rsid w:val="7C2B1EB0"/>
    <w:rsid w:val="7C3D3992"/>
    <w:rsid w:val="7C3F595C"/>
    <w:rsid w:val="7C684EB3"/>
    <w:rsid w:val="7C815F74"/>
    <w:rsid w:val="7CD20380"/>
    <w:rsid w:val="7CD6006E"/>
    <w:rsid w:val="7CDB7433"/>
    <w:rsid w:val="7CF77FE5"/>
    <w:rsid w:val="7D256900"/>
    <w:rsid w:val="7D392FF2"/>
    <w:rsid w:val="7D3F10C6"/>
    <w:rsid w:val="7D515947"/>
    <w:rsid w:val="7D891584"/>
    <w:rsid w:val="7DA54921"/>
    <w:rsid w:val="7DB008BF"/>
    <w:rsid w:val="7DDD290B"/>
    <w:rsid w:val="7DF12C86"/>
    <w:rsid w:val="7E2968C4"/>
    <w:rsid w:val="7E8E6727"/>
    <w:rsid w:val="7E957AB5"/>
    <w:rsid w:val="7EC65EC0"/>
    <w:rsid w:val="7EE66563"/>
    <w:rsid w:val="7EEE52D7"/>
    <w:rsid w:val="7F0013D2"/>
    <w:rsid w:val="7F01514B"/>
    <w:rsid w:val="7F4A6AF1"/>
    <w:rsid w:val="7F5E434B"/>
    <w:rsid w:val="7F8F6BFA"/>
    <w:rsid w:val="7F9F508F"/>
    <w:rsid w:val="7FD053E6"/>
    <w:rsid w:val="7FD1A9E3"/>
    <w:rsid w:val="7FE42AA2"/>
    <w:rsid w:val="7FEE75FA"/>
    <w:rsid w:val="7FF54CAF"/>
    <w:rsid w:val="7FF54CDB"/>
    <w:rsid w:val="AEFFDEDF"/>
    <w:rsid w:val="B7D7C074"/>
    <w:rsid w:val="BD6714E5"/>
    <w:rsid w:val="CEDD633D"/>
    <w:rsid w:val="DBFF6606"/>
    <w:rsid w:val="DF6F38DF"/>
    <w:rsid w:val="DF7FEB6A"/>
    <w:rsid w:val="DFEA4A34"/>
    <w:rsid w:val="EF492D27"/>
    <w:rsid w:val="F3E69589"/>
    <w:rsid w:val="F5EF0DAA"/>
    <w:rsid w:val="F7EF1381"/>
    <w:rsid w:val="F87FBDC3"/>
    <w:rsid w:val="FD5B085E"/>
    <w:rsid w:val="FEBF2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lang w:bidi="ar-SA"/>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2221</Words>
  <Characters>2260</Characters>
  <Lines>0</Lines>
  <Paragraphs>0</Paragraphs>
  <TotalTime>2470</TotalTime>
  <ScaleCrop>false</ScaleCrop>
  <LinksUpToDate>false</LinksUpToDate>
  <CharactersWithSpaces>2273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2025-09-17T16:07:00Z</dcterms:created>
  <dc:creator>_Y✨Y☀</dc:creator>
  <cp:lastModifiedBy>书生</cp:lastModifiedBy>
  <cp:lastPrinted>2026-03-05T01:41:00Z</cp:lastPrinted>
  <dcterms:modified xsi:type="dcterms:W3CDTF">2026-03-10T07:09:49Z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B64067479EEE4140AACBDBAC41BFD02D</vt:lpwstr>
  </property>
  <property fmtid="{D5CDD505-2E9C-101B-9397-08002B2CF9AE}" pid="4" name="KSOTemplateDocerSaveRecord">
    <vt:lpwstr>eyJoZGlkIjoiODNiODQ1MmFiOTI3NzNjYjFmNDVmMjA5ODUwNzU5ZjUiLCJ1c2VySWQiOiI4MzQyMzg4MzUifQ==</vt:lpwstr>
  </property>
</Properties>
</file>