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9" w:lineRule="exact"/>
        <w:jc w:val="center"/>
        <w:textAlignment w:val="auto"/>
        <w:rPr>
          <w:rFonts w:hint="default" w:ascii="方正小标宋简体" w:eastAsia="方正小标宋简体"/>
          <w:sz w:val="44"/>
          <w:szCs w:val="44"/>
          <w:lang w:val="en-US" w:eastAsia="zh-CN"/>
        </w:rPr>
      </w:pPr>
      <w:r>
        <w:rPr>
          <w:rFonts w:hint="eastAsia" w:ascii="方正小标宋简体" w:eastAsia="方正小标宋简体"/>
          <w:sz w:val="44"/>
          <w:szCs w:val="44"/>
          <w:lang w:eastAsia="zh-CN"/>
        </w:rPr>
        <w:t>政策解读</w:t>
      </w:r>
      <w:r>
        <w:rPr>
          <w:rFonts w:hint="eastAsia" w:ascii="方正小标宋简体" w:eastAsia="方正小标宋简体"/>
          <w:sz w:val="44"/>
          <w:szCs w:val="44"/>
          <w:lang w:val="en-US" w:eastAsia="zh-CN"/>
        </w:rPr>
        <w:t>|关于规范县和基层物理治疗类医疗服务价格项目的通知</w:t>
      </w:r>
    </w:p>
    <w:p>
      <w:pPr>
        <w:keepNext w:val="0"/>
        <w:keepLines w:val="0"/>
        <w:pageBreakBefore w:val="0"/>
        <w:widowControl w:val="0"/>
        <w:kinsoku/>
        <w:wordWrap/>
        <w:overflowPunct/>
        <w:topLinePunct w:val="0"/>
        <w:autoSpaceDE/>
        <w:autoSpaceDN/>
        <w:bidi w:val="0"/>
        <w:adjustRightInd/>
        <w:snapToGrid/>
        <w:spacing w:line="589" w:lineRule="exact"/>
        <w:jc w:val="center"/>
        <w:textAlignment w:val="auto"/>
        <w:rPr>
          <w:rFonts w:ascii="方正小标宋简体" w:eastAsia="方正小标宋简体"/>
          <w:spacing w:val="-4"/>
          <w:sz w:val="44"/>
          <w:szCs w:val="44"/>
        </w:rPr>
      </w:pP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eastAsia="zh-CN"/>
        </w:rPr>
        <w:t>为贯彻落实《河北省医疗保障局关于规范物理治疗类医疗服务价格项目的通知》（冀医保函〔2026〕14 号）要求，秦皇岛市医疗保障局印发了《关于规范县和基层物理治疗类医疗服务价格项目的通知》（秦医保〔2026〕12 号），对全市县及基层医疗机构物理治疗类医疗服务价格项目进行全面规范整合，进一步理顺价格体系、规范收费行为、保障医患双方合法权益。现将政策核心内容解读如下。</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黑体" w:hAnsi="黑体" w:eastAsia="黑体" w:cs="黑体"/>
          <w:spacing w:val="-4"/>
          <w:sz w:val="32"/>
          <w:szCs w:val="32"/>
          <w:lang w:eastAsia="zh-CN"/>
        </w:rPr>
      </w:pPr>
      <w:r>
        <w:rPr>
          <w:rFonts w:hint="eastAsia" w:ascii="黑体" w:hAnsi="黑体" w:eastAsia="黑体" w:cs="黑体"/>
          <w:spacing w:val="-4"/>
          <w:sz w:val="32"/>
          <w:szCs w:val="32"/>
          <w:lang w:eastAsia="zh-CN"/>
        </w:rPr>
        <w:t>一、出台背景</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eastAsia="zh-CN"/>
        </w:rPr>
        <w:t>物理治疗类项目是临床康复、肿瘤治疗、慢病管理等领域的常用服务，原项目存在分类较细、名称不一、内涵交叉、基层与县级定价衔接不清晰等问题。为统一项目规范、明晰价格构成、强化价格监管，结合我市县及基层医疗机构服务实际，制定本通知，确保国家、省相关政策落地见效。</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黑体" w:hAnsi="黑体" w:eastAsia="黑体" w:cs="黑体"/>
          <w:spacing w:val="-4"/>
          <w:sz w:val="32"/>
          <w:szCs w:val="32"/>
          <w:lang w:eastAsia="zh-CN"/>
        </w:rPr>
      </w:pPr>
      <w:r>
        <w:rPr>
          <w:rFonts w:hint="eastAsia" w:ascii="黑体" w:hAnsi="黑体" w:eastAsia="黑体" w:cs="黑体"/>
          <w:spacing w:val="-4"/>
          <w:sz w:val="32"/>
          <w:szCs w:val="32"/>
          <w:lang w:eastAsia="zh-CN"/>
        </w:rPr>
        <w:t>二、主要内容</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楷体_GB2312" w:hAnsi="楷体_GB2312" w:eastAsia="楷体_GB2312" w:cs="楷体_GB2312"/>
          <w:spacing w:val="-4"/>
          <w:sz w:val="32"/>
          <w:szCs w:val="32"/>
          <w:lang w:eastAsia="zh-CN"/>
        </w:rPr>
      </w:pPr>
      <w:r>
        <w:rPr>
          <w:rFonts w:hint="eastAsia" w:ascii="楷体_GB2312" w:hAnsi="楷体_GB2312" w:eastAsia="楷体_GB2312" w:cs="楷体_GB2312"/>
          <w:spacing w:val="-4"/>
          <w:sz w:val="32"/>
          <w:szCs w:val="32"/>
          <w:lang w:eastAsia="zh-CN"/>
        </w:rPr>
        <w:t>（一）规范项目 “三大动作”</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1.</w:t>
      </w:r>
      <w:r>
        <w:rPr>
          <w:rFonts w:hint="eastAsia" w:eastAsia="仿宋_GB2312"/>
          <w:spacing w:val="-4"/>
          <w:sz w:val="32"/>
          <w:szCs w:val="32"/>
          <w:lang w:eastAsia="zh-CN"/>
        </w:rPr>
        <w:t>新增32项价格项目新增高强度聚焦超声治疗费、消融治疗费、电刺激治疗费、冲击波治疗费等32项物理治疗类项目，覆盖聚焦超声、热疗、消融治疗、理疗等多个临床类别，项目定价为最高限价，医疗机构不得上浮、下浮不限。</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2.</w:t>
      </w:r>
      <w:r>
        <w:rPr>
          <w:rFonts w:hint="eastAsia" w:eastAsia="仿宋_GB2312"/>
          <w:spacing w:val="-4"/>
          <w:sz w:val="32"/>
          <w:szCs w:val="32"/>
          <w:lang w:eastAsia="zh-CN"/>
        </w:rPr>
        <w:t>修订1项价格项目对“直流电药物离子导入治疗”项目内涵、计价规则、价格标准进行完善优化，确保与临床实际一致。</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3.</w:t>
      </w:r>
      <w:r>
        <w:rPr>
          <w:rFonts w:hint="eastAsia" w:eastAsia="仿宋_GB2312"/>
          <w:spacing w:val="-4"/>
          <w:sz w:val="32"/>
          <w:szCs w:val="32"/>
          <w:lang w:eastAsia="zh-CN"/>
        </w:rPr>
        <w:t>停用57项老旧项目停用“深部热疗”“高强度超声聚焦刀治疗”等57项重复、过时、不适应基层开展的项目，实现项目“新陈代谢”，避免交叉收费、重复计费。</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楷体_GB2312" w:hAnsi="楷体_GB2312" w:eastAsia="楷体_GB2312" w:cs="楷体_GB2312"/>
          <w:spacing w:val="-4"/>
          <w:sz w:val="32"/>
          <w:szCs w:val="32"/>
          <w:lang w:eastAsia="zh-CN"/>
        </w:rPr>
      </w:pPr>
      <w:r>
        <w:rPr>
          <w:rFonts w:hint="eastAsia" w:ascii="楷体_GB2312" w:hAnsi="楷体_GB2312" w:eastAsia="楷体_GB2312" w:cs="楷体_GB2312"/>
          <w:spacing w:val="-4"/>
          <w:sz w:val="32"/>
          <w:szCs w:val="32"/>
          <w:lang w:eastAsia="zh-CN"/>
        </w:rPr>
        <w:t>（二）价格与收费核心规则</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1.</w:t>
      </w:r>
      <w:r>
        <w:rPr>
          <w:rFonts w:hint="eastAsia" w:eastAsia="仿宋_GB2312"/>
          <w:spacing w:val="-4"/>
          <w:sz w:val="32"/>
          <w:szCs w:val="32"/>
          <w:lang w:eastAsia="zh-CN"/>
        </w:rPr>
        <w:t>价格实行分级定价：按县级、基层两类机构分别设定指导价格，基层价格适度下调，引导患者就近就医。</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2.</w:t>
      </w:r>
      <w:r>
        <w:rPr>
          <w:rFonts w:hint="eastAsia" w:eastAsia="仿宋_GB2312"/>
          <w:spacing w:val="-4"/>
          <w:sz w:val="32"/>
          <w:szCs w:val="32"/>
          <w:lang w:eastAsia="zh-CN"/>
        </w:rPr>
        <w:t>价格构成清晰透明：项目价格已包含人力资源、设备成本及基本物质资源物耗（消杀、防护、耗材、耦合剂、一次性电极片等），不得另行收费。</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3.</w:t>
      </w:r>
      <w:r>
        <w:rPr>
          <w:rFonts w:hint="eastAsia" w:eastAsia="仿宋_GB2312"/>
          <w:spacing w:val="-4"/>
          <w:sz w:val="32"/>
          <w:szCs w:val="32"/>
          <w:lang w:eastAsia="zh-CN"/>
        </w:rPr>
        <w:t>计价规则严谨规范：明确“次”“部位”“单肢”等计价单位，限定每日收费次数、单次最高收费、病灶加收标准、联合治疗计费规则等，杜绝随意加价。</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4.</w:t>
      </w:r>
      <w:r>
        <w:rPr>
          <w:rFonts w:hint="eastAsia" w:eastAsia="仿宋_GB2312"/>
          <w:spacing w:val="-4"/>
          <w:sz w:val="32"/>
          <w:szCs w:val="32"/>
          <w:lang w:eastAsia="zh-CN"/>
        </w:rPr>
        <w:t>医保类别明确：按甲类、乙类、丙类规范标注，与医保支付政策直接衔接，参保群众待遇清晰可查。</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楷体_GB2312" w:hAnsi="楷体_GB2312" w:eastAsia="楷体_GB2312" w:cs="楷体_GB2312"/>
          <w:spacing w:val="-4"/>
          <w:sz w:val="32"/>
          <w:szCs w:val="32"/>
          <w:lang w:eastAsia="zh-CN"/>
        </w:rPr>
      </w:pPr>
      <w:r>
        <w:rPr>
          <w:rFonts w:hint="eastAsia" w:ascii="楷体_GB2312" w:hAnsi="楷体_GB2312" w:eastAsia="楷体_GB2312" w:cs="楷体_GB2312"/>
          <w:spacing w:val="-4"/>
          <w:sz w:val="32"/>
          <w:szCs w:val="32"/>
          <w:lang w:eastAsia="zh-CN"/>
        </w:rPr>
        <w:t>（三）实施与监管要求</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1.</w:t>
      </w:r>
      <w:r>
        <w:rPr>
          <w:rFonts w:hint="eastAsia" w:eastAsia="仿宋_GB2312"/>
          <w:spacing w:val="-4"/>
          <w:sz w:val="32"/>
          <w:szCs w:val="32"/>
          <w:lang w:eastAsia="zh-CN"/>
        </w:rPr>
        <w:t>执行时间：自2026年4 月10 日起正式执行。</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2.</w:t>
      </w:r>
      <w:r>
        <w:rPr>
          <w:rFonts w:hint="eastAsia" w:eastAsia="仿宋_GB2312"/>
          <w:spacing w:val="-4"/>
          <w:sz w:val="32"/>
          <w:szCs w:val="32"/>
          <w:lang w:eastAsia="zh-CN"/>
        </w:rPr>
        <w:t>系统衔接：各医疗机构须在2026年4 月9日</w:t>
      </w:r>
      <w:bookmarkStart w:id="0" w:name="_GoBack"/>
      <w:bookmarkEnd w:id="0"/>
      <w:r>
        <w:rPr>
          <w:rFonts w:hint="eastAsia" w:eastAsia="仿宋_GB2312"/>
          <w:spacing w:val="-4"/>
          <w:sz w:val="32"/>
          <w:szCs w:val="32"/>
          <w:lang w:eastAsia="zh-CN"/>
        </w:rPr>
        <w:t>24 时前完成信息系统目录维护与费用上传，确保新旧政策平稳过渡。</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3.</w:t>
      </w:r>
      <w:r>
        <w:rPr>
          <w:rFonts w:hint="eastAsia" w:eastAsia="仿宋_GB2312"/>
          <w:spacing w:val="-4"/>
          <w:sz w:val="32"/>
          <w:szCs w:val="32"/>
          <w:lang w:eastAsia="zh-CN"/>
        </w:rPr>
        <w:t>公开公示：医疗机构须落实明码标价和费用明细清单制度，通过电子屏等渠道公示价格，主动接受社会监督。</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4.</w:t>
      </w:r>
      <w:r>
        <w:rPr>
          <w:rFonts w:hint="eastAsia" w:eastAsia="仿宋_GB2312"/>
          <w:spacing w:val="-4"/>
          <w:sz w:val="32"/>
          <w:szCs w:val="32"/>
          <w:lang w:eastAsia="zh-CN"/>
        </w:rPr>
        <w:t>督导监管：县区医保部门健全常态化监管机制，加强督导检查，及时纠正违规收费行为。</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黑体" w:hAnsi="黑体" w:eastAsia="黑体" w:cs="黑体"/>
          <w:spacing w:val="-4"/>
          <w:sz w:val="32"/>
          <w:szCs w:val="32"/>
          <w:lang w:eastAsia="zh-CN"/>
        </w:rPr>
      </w:pPr>
      <w:r>
        <w:rPr>
          <w:rFonts w:hint="eastAsia" w:ascii="黑体" w:hAnsi="黑体" w:eastAsia="黑体" w:cs="黑体"/>
          <w:spacing w:val="-4"/>
          <w:sz w:val="32"/>
          <w:szCs w:val="32"/>
          <w:lang w:eastAsia="zh-CN"/>
        </w:rPr>
        <w:t>三、政策利好</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1.</w:t>
      </w:r>
      <w:r>
        <w:rPr>
          <w:rFonts w:hint="eastAsia" w:eastAsia="仿宋_GB2312"/>
          <w:spacing w:val="-4"/>
          <w:sz w:val="32"/>
          <w:szCs w:val="32"/>
          <w:lang w:eastAsia="zh-CN"/>
        </w:rPr>
        <w:t>对患者：项目更规范、价格更透明、收费更合理，减少不合理费用支出，就医更明白、更放心。</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2.</w:t>
      </w:r>
      <w:r>
        <w:rPr>
          <w:rFonts w:hint="eastAsia" w:eastAsia="仿宋_GB2312"/>
          <w:spacing w:val="-4"/>
          <w:sz w:val="32"/>
          <w:szCs w:val="32"/>
          <w:lang w:eastAsia="zh-CN"/>
        </w:rPr>
        <w:t>对机构：项目标准统一、定价有据可依、操作边界清晰，便于规范执行，降低合规风险。</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val="en-US" w:eastAsia="zh-CN"/>
        </w:rPr>
        <w:t>3.</w:t>
      </w:r>
      <w:r>
        <w:rPr>
          <w:rFonts w:hint="eastAsia" w:eastAsia="仿宋_GB2312"/>
          <w:spacing w:val="-4"/>
          <w:sz w:val="32"/>
          <w:szCs w:val="32"/>
          <w:lang w:eastAsia="zh-CN"/>
        </w:rPr>
        <w:t>对医保：优化基金使用效率，提升支付精准性，保障基金安全可持续。</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ascii="黑体" w:hAnsi="黑体" w:eastAsia="黑体" w:cs="黑体"/>
          <w:spacing w:val="-4"/>
          <w:sz w:val="32"/>
          <w:szCs w:val="32"/>
          <w:lang w:eastAsia="zh-CN"/>
        </w:rPr>
      </w:pPr>
      <w:r>
        <w:rPr>
          <w:rFonts w:hint="eastAsia" w:ascii="黑体" w:hAnsi="黑体" w:eastAsia="黑体" w:cs="黑体"/>
          <w:spacing w:val="-4"/>
          <w:sz w:val="32"/>
          <w:szCs w:val="32"/>
          <w:lang w:eastAsia="zh-CN"/>
        </w:rPr>
        <w:t>四、咨询渠道</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lang w:eastAsia="zh-CN"/>
        </w:rPr>
      </w:pPr>
      <w:r>
        <w:rPr>
          <w:rFonts w:hint="eastAsia" w:eastAsia="仿宋_GB2312"/>
          <w:spacing w:val="-4"/>
          <w:sz w:val="32"/>
          <w:szCs w:val="32"/>
          <w:lang w:eastAsia="zh-CN"/>
        </w:rPr>
        <w:t>执行过程中如有疑问，请向秦皇岛市医疗保障局反馈，联系电话</w:t>
      </w:r>
      <w:r>
        <w:rPr>
          <w:rFonts w:hint="eastAsia" w:eastAsia="仿宋_GB2312"/>
          <w:spacing w:val="-4"/>
          <w:sz w:val="32"/>
          <w:szCs w:val="32"/>
          <w:lang w:val="en-US" w:eastAsia="zh-CN"/>
        </w:rPr>
        <w:t>0335-5912333</w:t>
      </w:r>
      <w:r>
        <w:rPr>
          <w:rFonts w:hint="eastAsia" w:eastAsia="仿宋_GB2312"/>
          <w:spacing w:val="-4"/>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p>
    <w:sectPr>
      <w:footerReference r:id="rId3" w:type="default"/>
      <w:footerReference r:id="rId4" w:type="even"/>
      <w:pgSz w:w="11906" w:h="16838"/>
      <w:pgMar w:top="1928" w:right="1474" w:bottom="1928" w:left="1588"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List>
        <w:docPartGallery w:val="autotext"/>
      </w:docPartList>
    </w:sdtPr>
    <w:sdtEndPr>
      <w:rPr>
        <w:rFonts w:ascii="宋体"/>
        <w:sz w:val="28"/>
        <w:szCs w:val="28"/>
      </w:rPr>
    </w:sdtEndPr>
    <w:sdtContent>
      <w:p>
        <w:pPr>
          <w:pStyle w:val="5"/>
          <w:wordWrap w:val="0"/>
          <w:jc w:val="right"/>
          <w:rPr>
            <w:rFonts w:ascii="宋体"/>
            <w:sz w:val="28"/>
            <w:szCs w:val="28"/>
          </w:rPr>
        </w:pPr>
        <w:r>
          <w:rPr>
            <w:rFonts w:ascii="宋体"/>
            <w:sz w:val="28"/>
            <w:szCs w:val="28"/>
          </w:rPr>
          <w:t>—</w:t>
        </w:r>
        <w:r>
          <w:rPr>
            <w:rFonts w:hint="eastAsia" w:ascii="宋体"/>
            <w:sz w:val="28"/>
            <w:szCs w:val="28"/>
          </w:rPr>
          <w:t xml:space="preserve"> </w:t>
        </w: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1</w:t>
        </w:r>
        <w:r>
          <w:rPr>
            <w:rFonts w:ascii="宋体"/>
            <w:sz w:val="28"/>
            <w:szCs w:val="28"/>
          </w:rPr>
          <w:fldChar w:fldCharType="end"/>
        </w:r>
        <w:r>
          <w:rPr>
            <w:rFonts w:hint="eastAsia" w:ascii="宋体"/>
            <w:sz w:val="28"/>
            <w:szCs w:val="28"/>
          </w:rPr>
          <w:t xml:space="preserve"> </w:t>
        </w:r>
        <w:r>
          <w:rPr>
            <w:rFonts w:ascii="宋体"/>
            <w:sz w:val="28"/>
            <w:szCs w:val="28"/>
          </w:rPr>
          <w:t>—</w:t>
        </w:r>
        <w:r>
          <w:rPr>
            <w:rFonts w:hint="eastAsia" w:ascii="宋体"/>
            <w:sz w:val="28"/>
            <w:szCs w:val="28"/>
          </w:rPr>
          <w:t xml:space="preserve">  </w:t>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sz w:val="28"/>
        <w:szCs w:val="28"/>
      </w:rPr>
    </w:pPr>
    <w:r>
      <w:rPr>
        <w:rFonts w:ascii="宋体"/>
        <w:sz w:val="28"/>
        <w:szCs w:val="28"/>
      </w:rPr>
      <w:t>—</w:t>
    </w:r>
    <w:sdt>
      <w:sdtPr>
        <w:rPr>
          <w:rFonts w:ascii="宋体"/>
          <w:sz w:val="28"/>
          <w:szCs w:val="28"/>
        </w:rPr>
        <w:id w:val="-1"/>
        <w:docPartList>
          <w:docPartGallery w:val="autotext"/>
        </w:docPartList>
      </w:sdtPr>
      <w:sdtEndPr>
        <w:rPr>
          <w:rFonts w:ascii="宋体"/>
          <w:sz w:val="28"/>
          <w:szCs w:val="28"/>
        </w:rPr>
      </w:sdtEndPr>
      <w:sdtContent>
        <w:r>
          <w:rPr>
            <w:rFonts w:hint="eastAsia" w:ascii="宋体"/>
            <w:sz w:val="28"/>
            <w:szCs w:val="28"/>
          </w:rPr>
          <w:t xml:space="preserve"> </w:t>
        </w: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2</w:t>
        </w:r>
        <w:r>
          <w:rPr>
            <w:rFonts w:ascii="宋体"/>
            <w:sz w:val="28"/>
            <w:szCs w:val="28"/>
          </w:rPr>
          <w:fldChar w:fldCharType="end"/>
        </w:r>
        <w:r>
          <w:rPr>
            <w:rFonts w:hint="eastAsia" w:ascii="宋体"/>
            <w:sz w:val="28"/>
            <w:szCs w:val="28"/>
          </w:rPr>
          <w:t xml:space="preserve"> </w:t>
        </w:r>
        <w:r>
          <w:rPr>
            <w:rFonts w:ascii="宋体"/>
            <w:sz w:val="28"/>
            <w:szCs w:val="28"/>
          </w:rPr>
          <w:t>—</w:t>
        </w:r>
      </w:sdtContent>
    </w:sdt>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773FA94E"/>
    <w:rsid w:val="7CCC2FE1"/>
    <w:rsid w:val="DC9F49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2"/>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10">
    <w:name w:val="heading 1 Char"/>
    <w:basedOn w:val="9"/>
    <w:link w:val="2"/>
    <w:qFormat/>
    <w:uiPriority w:val="0"/>
    <w:rPr>
      <w:rFonts w:ascii="Times New Roman" w:hAnsi="Times New Roman" w:eastAsia="宋体" w:cs="Times New Roman"/>
      <w:b/>
      <w:bCs/>
      <w:kern w:val="44"/>
      <w:sz w:val="44"/>
      <w:szCs w:val="44"/>
      <w:lang w:val="en-US" w:eastAsia="zh-CN" w:bidi="ar-SA"/>
    </w:rPr>
  </w:style>
  <w:style w:type="character" w:customStyle="1" w:styleId="11">
    <w:name w:val="heading 2 Char"/>
    <w:basedOn w:val="9"/>
    <w:link w:val="3"/>
    <w:qFormat/>
    <w:uiPriority w:val="0"/>
    <w:rPr>
      <w:rFonts w:ascii="Times New Roman" w:hAnsi="Times New Roman" w:eastAsia="黑体" w:cs="Times New Roman"/>
      <w:b/>
      <w:bCs/>
      <w:kern w:val="2"/>
      <w:sz w:val="32"/>
      <w:szCs w:val="32"/>
      <w:lang w:val="en-US" w:eastAsia="zh-CN" w:bidi="ar-SA"/>
    </w:rPr>
  </w:style>
  <w:style w:type="character" w:customStyle="1" w:styleId="12">
    <w:name w:val="heading 3 Char"/>
    <w:basedOn w:val="9"/>
    <w:link w:val="4"/>
    <w:qFormat/>
    <w:uiPriority w:val="0"/>
    <w:rPr>
      <w:rFonts w:ascii="Times New Roman"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3678 0 1 1 1 1"/>
    <sectPr xmlns="http://www.yozosoft.com.cn/officeDocument/2016/customData"/>
  </customProps>
</customData>
</file>

<file path=customXml/itemProps1.xml><?xml version="1.0" encoding="utf-8"?>
<ds:datastoreItem xmlns:ds="http://schemas.openxmlformats.org/officeDocument/2006/customXml" ds:itemID="{29C76418-46D2-4DAB-8CEB-3035B7B5F2F2}">
  <ds:schemaRefs/>
</ds:datastoreItem>
</file>

<file path=docProps/app.xml><?xml version="1.0" encoding="utf-8"?>
<Properties xmlns="http://schemas.openxmlformats.org/officeDocument/2006/extended-properties" xmlns:vt="http://schemas.openxmlformats.org/officeDocument/2006/docPropsVTypes">
  <Template>Normal.eit</Template>
  <Pages>1</Pages>
  <Words>862</Words>
  <Characters>863</Characters>
  <Lines>0</Lines>
  <Paragraphs>9</Paragraphs>
  <TotalTime>3</TotalTime>
  <ScaleCrop>false</ScaleCrop>
  <LinksUpToDate>false</LinksUpToDate>
  <CharactersWithSpaces>863</CharactersWithSpaces>
  <Application>WPS Office_11.8.2.12333_F1E327BC-269C-435d-A152-05C5408002CA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2019-05-16T17:57:00Z</dcterms:created>
  <dc:creator>DELL</dc:creator>
  <cp:lastModifiedBy>user</cp:lastModifiedBy>
  <dcterms:modified xsi:type="dcterms:W3CDTF">2026-05-12T14:10:31Z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KSOTemplateDocerSaveRecord">
    <vt:lpwstr>eyJoZGlkIjoiMjAwOTFjZWQxZjM1ZWFkNGFhOWViMzQxN2RjZTQxZmIiLCJ1c2VySWQiOiI1MDY0NjYyNzkifQ==</vt:lpwstr>
  </property>
  <property fmtid="{D5CDD505-2E9C-101B-9397-08002B2CF9AE}" pid="4" name="ICV">
    <vt:lpwstr>C5684754158B4DABAF9851DCBF1B56EF_12</vt:lpwstr>
  </property>
</Properties>
</file>