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eastAsia="zh-CN"/>
        </w:rPr>
        <w:t>政策解读</w:t>
      </w:r>
      <w:r>
        <w:rPr>
          <w:rFonts w:hint="eastAsia" w:ascii="方正小标宋简体" w:eastAsia="方正小标宋简体"/>
          <w:sz w:val="44"/>
          <w:szCs w:val="44"/>
          <w:lang w:val="en-US" w:eastAsia="zh-CN"/>
        </w:rPr>
        <w:t>|关于规范县和基层消化系统医疗服务价格项目的通知</w:t>
      </w:r>
    </w:p>
    <w:p>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ascii="方正小标宋简体" w:eastAsia="方正小标宋简体"/>
          <w:spacing w:val="-4"/>
          <w:sz w:val="44"/>
          <w:szCs w:val="44"/>
        </w:rPr>
      </w:pP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为贯彻落实《河北省医疗保障局关于规范消化系统医疗服务价格项目的通知》（冀医保函〔2026〕16号）要求，秦皇岛市医疗保障局印发《关于规范县和基层消化系统医疗服务价格项目的通知》（秦医保〔2026〕15号），对全市县级及基层医疗机构消化系统医疗服务价格项目进行全面规范整合，统一项目标准、明晰收费规则、保障群众就医与基金安全。现将政策核心内容解读如下。</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一、出台背景</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消化系统疾病发病率高、诊疗需求大，涉及食管、胃肠、肝胆胰、肛肠等多类诊疗与手术项目。原项目存在名称不一、内涵交叉、收费口径不统一、基层定价不清晰等问题。为落实省级统一规范，结合我市县及基层服务能力实际，优化项目结构、理顺价格体系、强化价格监管，特制定本政策。</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二、主要内容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楷体_GB2312" w:hAnsi="楷体_GB2312" w:eastAsia="楷体_GB2312" w:cs="楷体_GB2312"/>
          <w:spacing w:val="-4"/>
          <w:sz w:val="32"/>
          <w:szCs w:val="32"/>
          <w:lang w:eastAsia="zh-CN"/>
        </w:rPr>
      </w:pPr>
      <w:r>
        <w:rPr>
          <w:rFonts w:hint="eastAsia" w:ascii="楷体_GB2312" w:hAnsi="楷体_GB2312" w:eastAsia="楷体_GB2312" w:cs="楷体_GB2312"/>
          <w:spacing w:val="-4"/>
          <w:sz w:val="32"/>
          <w:szCs w:val="32"/>
          <w:lang w:eastAsia="zh-CN"/>
        </w:rPr>
        <w:t>（一）项目规范“三大动作”</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1.</w:t>
      </w:r>
      <w:r>
        <w:rPr>
          <w:rFonts w:hint="eastAsia" w:eastAsia="仿宋_GB2312"/>
          <w:spacing w:val="-4"/>
          <w:sz w:val="32"/>
          <w:szCs w:val="32"/>
          <w:lang w:eastAsia="zh-CN"/>
        </w:rPr>
        <w:t>新增150项医疗服务价格项目新增无创逆行胰胆管造影、胃肠镜检查治疗、腹腔穿刺、肝胆胰手术、肛肠诊疗、肝脏修补、脾切除等150项，覆盖内镜检查、无创治疗、常规手术、肛肠诊疗、肝胆胰脾五大类，定价为最高限价，医疗机构不得上浮、下浮不限。</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2.</w:t>
      </w:r>
      <w:r>
        <w:rPr>
          <w:rFonts w:hint="eastAsia" w:eastAsia="仿宋_GB2312"/>
          <w:spacing w:val="-4"/>
          <w:sz w:val="32"/>
          <w:szCs w:val="32"/>
          <w:lang w:eastAsia="zh-CN"/>
        </w:rPr>
        <w:t>修订2项价格项目对“直肠取活检术”等2个项目的内涵、计价、价格进行优化完善，与临床实际保持一致。</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3.</w:t>
      </w:r>
      <w:r>
        <w:rPr>
          <w:rFonts w:hint="eastAsia" w:eastAsia="仿宋_GB2312"/>
          <w:spacing w:val="-4"/>
          <w:sz w:val="32"/>
          <w:szCs w:val="32"/>
          <w:lang w:eastAsia="zh-CN"/>
        </w:rPr>
        <w:t>停用246项老旧重复项目停用“红细胞寿命测定”“经内镜逆行胰胆管造影”等246项重复、过时、与新增项目重叠的旧项目，实现项目精简、新旧衔接，杜绝重复收费。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楷体_GB2312" w:hAnsi="楷体_GB2312" w:eastAsia="楷体_GB2312" w:cs="楷体_GB2312"/>
          <w:spacing w:val="-4"/>
          <w:sz w:val="32"/>
          <w:szCs w:val="32"/>
          <w:lang w:eastAsia="zh-CN"/>
        </w:rPr>
      </w:pPr>
      <w:r>
        <w:rPr>
          <w:rFonts w:hint="eastAsia" w:ascii="楷体_GB2312" w:hAnsi="楷体_GB2312" w:eastAsia="楷体_GB2312" w:cs="楷体_GB2312"/>
          <w:spacing w:val="-4"/>
          <w:sz w:val="32"/>
          <w:szCs w:val="32"/>
          <w:lang w:eastAsia="zh-CN"/>
        </w:rPr>
        <w:t>（二）收费与价格核心规则</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1.</w:t>
      </w:r>
      <w:r>
        <w:rPr>
          <w:rFonts w:hint="eastAsia" w:eastAsia="仿宋_GB2312"/>
          <w:spacing w:val="-4"/>
          <w:sz w:val="32"/>
          <w:szCs w:val="32"/>
          <w:lang w:eastAsia="zh-CN"/>
        </w:rPr>
        <w:t>分级定价，基层惠民按县级、基层分别设定指导价格，基层价格适度下调，引导群众就近就医、减轻负担。</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2.</w:t>
      </w:r>
      <w:r>
        <w:rPr>
          <w:rFonts w:hint="eastAsia" w:eastAsia="仿宋_GB2312"/>
          <w:spacing w:val="-4"/>
          <w:sz w:val="32"/>
          <w:szCs w:val="32"/>
          <w:lang w:eastAsia="zh-CN"/>
        </w:rPr>
        <w:t>价格构成 “一口价”项目价格已包含人力资源、设备成本、基本物质资源物耗（消杀、防护、耗材、标本采集、咬口器、染色剂、打印耗材等），不另行收费。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3.</w:t>
      </w:r>
      <w:r>
        <w:rPr>
          <w:rFonts w:hint="eastAsia" w:eastAsia="仿宋_GB2312"/>
          <w:spacing w:val="-4"/>
          <w:sz w:val="32"/>
          <w:szCs w:val="32"/>
          <w:lang w:eastAsia="zh-CN"/>
        </w:rPr>
        <w:t>内镜收费规则清晰。</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ascii="东文宋体" w:hAnsi="东文宋体" w:eastAsia="东文宋体" w:cs="东文宋体"/>
          <w:spacing w:val="-4"/>
          <w:sz w:val="32"/>
          <w:szCs w:val="32"/>
          <w:lang w:eastAsia="zh-CN"/>
        </w:rPr>
        <w:t>●</w:t>
      </w:r>
      <w:r>
        <w:rPr>
          <w:rFonts w:hint="eastAsia" w:eastAsia="仿宋_GB2312"/>
          <w:spacing w:val="-4"/>
          <w:sz w:val="32"/>
          <w:szCs w:val="32"/>
          <w:lang w:eastAsia="zh-CN"/>
        </w:rPr>
        <w:t>内镜治疗可按规定收取内镜检查费</w:t>
      </w:r>
      <w:r>
        <w:rPr>
          <w:rFonts w:hint="eastAsia" w:eastAsia="仿宋_GB2312"/>
          <w:spacing w:val="-4"/>
          <w:sz w:val="32"/>
          <w:szCs w:val="32"/>
          <w:lang w:val="en-US" w:eastAsia="zh-CN"/>
        </w:rPr>
        <w:t>+</w:t>
      </w:r>
      <w:r>
        <w:rPr>
          <w:rFonts w:hint="eastAsia" w:eastAsia="仿宋_GB2312"/>
          <w:spacing w:val="-4"/>
          <w:sz w:val="32"/>
          <w:szCs w:val="32"/>
          <w:lang w:eastAsia="zh-CN"/>
        </w:rPr>
        <w:t>治疗费；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ascii="东文宋体" w:hAnsi="东文宋体" w:eastAsia="东文宋体" w:cs="东文宋体"/>
          <w:spacing w:val="-4"/>
          <w:sz w:val="32"/>
          <w:szCs w:val="32"/>
          <w:lang w:eastAsia="zh-CN"/>
        </w:rPr>
        <w:t>●</w:t>
      </w:r>
      <w:r>
        <w:rPr>
          <w:rFonts w:hint="eastAsia" w:eastAsia="仿宋_GB2312"/>
          <w:spacing w:val="-4"/>
          <w:sz w:val="32"/>
          <w:szCs w:val="32"/>
          <w:lang w:eastAsia="zh-CN"/>
        </w:rPr>
        <w:t>手术项目已含内镜使用成本，开放与内镜手术同价，内镜辅助不额外收费。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4.</w:t>
      </w:r>
      <w:r>
        <w:rPr>
          <w:rFonts w:hint="eastAsia" w:eastAsia="仿宋_GB2312"/>
          <w:spacing w:val="-4"/>
          <w:sz w:val="32"/>
          <w:szCs w:val="32"/>
          <w:lang w:eastAsia="zh-CN"/>
        </w:rPr>
        <w:t>特殊服务收费明确。</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ascii="东文宋体" w:hAnsi="东文宋体" w:eastAsia="东文宋体" w:cs="东文宋体"/>
          <w:spacing w:val="-4"/>
          <w:sz w:val="32"/>
          <w:szCs w:val="32"/>
          <w:lang w:eastAsia="zh-CN"/>
        </w:rPr>
        <w:t>●</w:t>
      </w:r>
      <w:r>
        <w:rPr>
          <w:rFonts w:hint="eastAsia" w:eastAsia="仿宋_GB2312"/>
          <w:spacing w:val="-4"/>
          <w:sz w:val="32"/>
          <w:szCs w:val="32"/>
          <w:lang w:eastAsia="zh-CN"/>
        </w:rPr>
        <w:t>数字影像服务：不提供数字影像处理上传的，放射检查减收5元；</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ascii="东文宋体" w:hAnsi="东文宋体" w:eastAsia="东文宋体" w:cs="东文宋体"/>
          <w:spacing w:val="-4"/>
          <w:sz w:val="32"/>
          <w:szCs w:val="32"/>
          <w:lang w:eastAsia="zh-CN"/>
        </w:rPr>
        <w:t>●</w:t>
      </w:r>
      <w:r>
        <w:rPr>
          <w:rFonts w:hint="eastAsia" w:eastAsia="仿宋_GB2312"/>
          <w:spacing w:val="-4"/>
          <w:sz w:val="32"/>
          <w:szCs w:val="32"/>
          <w:lang w:eastAsia="zh-CN"/>
        </w:rPr>
        <w:t>数字胶片云储存：患者自愿选择，可不再提供实体胶片；</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ascii="东文宋体" w:hAnsi="东文宋体" w:eastAsia="东文宋体" w:cs="东文宋体"/>
          <w:spacing w:val="-4"/>
          <w:sz w:val="32"/>
          <w:szCs w:val="32"/>
          <w:lang w:eastAsia="zh-CN"/>
        </w:rPr>
        <w:t>●</w:t>
      </w:r>
      <w:r>
        <w:rPr>
          <w:rFonts w:hint="eastAsia" w:eastAsia="仿宋_GB2312"/>
          <w:spacing w:val="-4"/>
          <w:sz w:val="32"/>
          <w:szCs w:val="32"/>
          <w:lang w:eastAsia="zh-CN"/>
        </w:rPr>
        <w:t>AI 辅助诊疗：按主项目收费，不重复计费。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5.</w:t>
      </w:r>
      <w:r>
        <w:rPr>
          <w:rFonts w:hint="eastAsia" w:eastAsia="仿宋_GB2312"/>
          <w:spacing w:val="-4"/>
          <w:sz w:val="32"/>
          <w:szCs w:val="32"/>
          <w:lang w:eastAsia="zh-CN"/>
        </w:rPr>
        <w:t>特殊情形计价规范。</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ascii="东文宋体" w:hAnsi="东文宋体" w:eastAsia="东文宋体" w:cs="东文宋体"/>
          <w:spacing w:val="-4"/>
          <w:sz w:val="32"/>
          <w:szCs w:val="32"/>
          <w:lang w:eastAsia="zh-CN"/>
        </w:rPr>
        <w:t>●</w:t>
      </w:r>
      <w:r>
        <w:rPr>
          <w:rFonts w:hint="eastAsia" w:eastAsia="仿宋_GB2312"/>
          <w:spacing w:val="-4"/>
          <w:sz w:val="32"/>
          <w:szCs w:val="32"/>
          <w:lang w:eastAsia="zh-CN"/>
        </w:rPr>
        <w:t>儿童（6</w:t>
      </w:r>
      <w:bookmarkStart w:id="0" w:name="_GoBack"/>
      <w:bookmarkEnd w:id="0"/>
      <w:r>
        <w:rPr>
          <w:rFonts w:hint="eastAsia" w:eastAsia="仿宋_GB2312"/>
          <w:spacing w:val="-4"/>
          <w:sz w:val="32"/>
          <w:szCs w:val="32"/>
          <w:lang w:eastAsia="zh-CN"/>
        </w:rPr>
        <w:t>周岁及以下）、复杂手术、多病灶、多部位等按统一标准加收；</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ascii="东文宋体" w:hAnsi="东文宋体" w:eastAsia="东文宋体" w:cs="东文宋体"/>
          <w:spacing w:val="-4"/>
          <w:sz w:val="32"/>
          <w:szCs w:val="32"/>
          <w:lang w:eastAsia="zh-CN"/>
        </w:rPr>
        <w:t>●</w:t>
      </w:r>
      <w:r>
        <w:rPr>
          <w:rFonts w:hint="eastAsia" w:eastAsia="仿宋_GB2312"/>
          <w:spacing w:val="-4"/>
          <w:sz w:val="32"/>
          <w:szCs w:val="32"/>
          <w:lang w:eastAsia="zh-CN"/>
        </w:rPr>
        <w:t>标本留取送检、常规操作成本已含在项目内，不另收费；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ascii="东文宋体" w:hAnsi="东文宋体" w:eastAsia="东文宋体" w:cs="东文宋体"/>
          <w:spacing w:val="-4"/>
          <w:sz w:val="32"/>
          <w:szCs w:val="32"/>
          <w:lang w:eastAsia="zh-CN"/>
        </w:rPr>
        <w:t>●</w:t>
      </w:r>
      <w:r>
        <w:rPr>
          <w:rFonts w:hint="eastAsia" w:eastAsia="仿宋_GB2312"/>
          <w:spacing w:val="-4"/>
          <w:sz w:val="32"/>
          <w:szCs w:val="32"/>
          <w:lang w:eastAsia="zh-CN"/>
        </w:rPr>
        <w:t>项目统一标注甲类、乙类、丙类，与医保支付直接衔接。</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楷体_GB2312" w:hAnsi="楷体_GB2312" w:eastAsia="楷体_GB2312" w:cs="楷体_GB2312"/>
          <w:spacing w:val="-4"/>
          <w:sz w:val="32"/>
          <w:szCs w:val="32"/>
          <w:lang w:eastAsia="zh-CN"/>
        </w:rPr>
      </w:pPr>
      <w:r>
        <w:rPr>
          <w:rFonts w:hint="eastAsia" w:ascii="楷体_GB2312" w:hAnsi="楷体_GB2312" w:eastAsia="楷体_GB2312" w:cs="楷体_GB2312"/>
          <w:spacing w:val="-4"/>
          <w:sz w:val="32"/>
          <w:szCs w:val="32"/>
          <w:lang w:eastAsia="zh-CN"/>
        </w:rPr>
        <w:t>（三）实施与监管要求</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1.</w:t>
      </w:r>
      <w:r>
        <w:rPr>
          <w:rFonts w:hint="eastAsia" w:eastAsia="仿宋_GB2312"/>
          <w:spacing w:val="-4"/>
          <w:sz w:val="32"/>
          <w:szCs w:val="32"/>
          <w:lang w:eastAsia="zh-CN"/>
        </w:rPr>
        <w:t>执行时间：自2026年4月22日起正式执行。</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2.</w:t>
      </w:r>
      <w:r>
        <w:rPr>
          <w:rFonts w:hint="eastAsia" w:eastAsia="仿宋_GB2312"/>
          <w:spacing w:val="-4"/>
          <w:sz w:val="32"/>
          <w:szCs w:val="32"/>
          <w:lang w:eastAsia="zh-CN"/>
        </w:rPr>
        <w:t>系统切换：各医疗机构须在2026年4月21日24时前完成信息系统目录维护与费用上传。</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3.</w:t>
      </w:r>
      <w:r>
        <w:rPr>
          <w:rFonts w:hint="eastAsia" w:eastAsia="仿宋_GB2312"/>
          <w:spacing w:val="-4"/>
          <w:sz w:val="32"/>
          <w:szCs w:val="32"/>
          <w:lang w:eastAsia="zh-CN"/>
        </w:rPr>
        <w:t>公开公示：严格落实明码标价、医疗费用明细清单制度，主动公示价格，接受社会监督。</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4.</w:t>
      </w:r>
      <w:r>
        <w:rPr>
          <w:rFonts w:hint="eastAsia" w:eastAsia="仿宋_GB2312"/>
          <w:spacing w:val="-4"/>
          <w:sz w:val="32"/>
          <w:szCs w:val="32"/>
          <w:lang w:eastAsia="zh-CN"/>
        </w:rPr>
        <w:t>督导监管：县区医保部门强化常态化监管，及时纠正违规收费。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三、政策利好</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1.</w:t>
      </w:r>
      <w:r>
        <w:rPr>
          <w:rFonts w:hint="eastAsia" w:eastAsia="仿宋_GB2312"/>
          <w:spacing w:val="-4"/>
          <w:sz w:val="32"/>
          <w:szCs w:val="32"/>
          <w:lang w:eastAsia="zh-CN"/>
        </w:rPr>
        <w:t>对患者：项目更规范、价格更透明、收费更合理，减少不合理支出，就医更明白、更放心。</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2.</w:t>
      </w:r>
      <w:r>
        <w:rPr>
          <w:rFonts w:hint="eastAsia" w:eastAsia="仿宋_GB2312"/>
          <w:spacing w:val="-4"/>
          <w:sz w:val="32"/>
          <w:szCs w:val="32"/>
          <w:lang w:eastAsia="zh-CN"/>
        </w:rPr>
        <w:t>对机构：项目标准统一、收费边界清晰、执行有据可依，降低合规风险。</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3.</w:t>
      </w:r>
      <w:r>
        <w:rPr>
          <w:rFonts w:hint="eastAsia" w:eastAsia="仿宋_GB2312"/>
          <w:spacing w:val="-4"/>
          <w:sz w:val="32"/>
          <w:szCs w:val="32"/>
          <w:lang w:eastAsia="zh-CN"/>
        </w:rPr>
        <w:t>对医保：优化基金使用效率，提升支付精准性，保障基金安全可持续。</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四、咨询渠道</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政策执行中如有疑问，请向秦皇岛市医疗保障局反馈，联系电话：0335-5912333。</w:t>
      </w:r>
    </w:p>
    <w:sectPr>
      <w:footerReference r:id="rId3" w:type="default"/>
      <w:footerReference r:id="rId4" w:type="even"/>
      <w:pgSz w:w="11906" w:h="16838"/>
      <w:pgMar w:top="1928" w:right="1474" w:bottom="1928" w:left="1588"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List>
        <w:docPartGallery w:val="autotext"/>
      </w:docPartList>
    </w:sdtPr>
    <w:sdtEndPr>
      <w:rPr>
        <w:rFonts w:ascii="宋体"/>
        <w:sz w:val="28"/>
        <w:szCs w:val="28"/>
      </w:rPr>
    </w:sdtEndPr>
    <w:sdtContent>
      <w:p>
        <w:pPr>
          <w:pStyle w:val="5"/>
          <w:wordWrap w:val="0"/>
          <w:jc w:val="right"/>
          <w:rPr>
            <w:rFonts w:ascii="宋体"/>
            <w:sz w:val="28"/>
            <w:szCs w:val="28"/>
          </w:rPr>
        </w:pPr>
        <w:r>
          <w:rPr>
            <w:rFonts w:ascii="宋体"/>
            <w:sz w:val="28"/>
            <w:szCs w:val="28"/>
          </w:rPr>
          <w:t>—</w:t>
        </w:r>
        <w:r>
          <w:rPr>
            <w:rFonts w:hint="eastAsia" w:ascii="宋体"/>
            <w:sz w:val="28"/>
            <w:szCs w:val="28"/>
          </w:rPr>
          <w:t xml:space="preserve"> </w:t>
        </w: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1</w:t>
        </w:r>
        <w:r>
          <w:rPr>
            <w:rFonts w:ascii="宋体"/>
            <w:sz w:val="28"/>
            <w:szCs w:val="28"/>
          </w:rPr>
          <w:fldChar w:fldCharType="end"/>
        </w:r>
        <w:r>
          <w:rPr>
            <w:rFonts w:hint="eastAsia" w:ascii="宋体"/>
            <w:sz w:val="28"/>
            <w:szCs w:val="28"/>
          </w:rPr>
          <w:t xml:space="preserve"> </w:t>
        </w:r>
        <w:r>
          <w:rPr>
            <w:rFonts w:ascii="宋体"/>
            <w:sz w:val="28"/>
            <w:szCs w:val="28"/>
          </w:rPr>
          <w:t>—</w:t>
        </w:r>
        <w:r>
          <w:rPr>
            <w:rFonts w:hint="eastAsia" w:ascii="宋体"/>
            <w:sz w:val="28"/>
            <w:szCs w:val="28"/>
          </w:rPr>
          <w:t xml:space="preserve">  </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sz w:val="28"/>
        <w:szCs w:val="28"/>
      </w:rPr>
    </w:pPr>
    <w:r>
      <w:rPr>
        <w:rFonts w:ascii="宋体"/>
        <w:sz w:val="28"/>
        <w:szCs w:val="28"/>
      </w:rPr>
      <w:t>—</w:t>
    </w:r>
    <w:sdt>
      <w:sdtPr>
        <w:rPr>
          <w:rFonts w:ascii="宋体"/>
          <w:sz w:val="28"/>
          <w:szCs w:val="28"/>
        </w:rPr>
        <w:id w:val="-1"/>
        <w:docPartList>
          <w:docPartGallery w:val="autotext"/>
        </w:docPartList>
      </w:sdtPr>
      <w:sdtEndPr>
        <w:rPr>
          <w:rFonts w:ascii="宋体"/>
          <w:sz w:val="28"/>
          <w:szCs w:val="28"/>
        </w:rPr>
      </w:sdtEndPr>
      <w:sdtContent>
        <w:r>
          <w:rPr>
            <w:rFonts w:hint="eastAsia" w:ascii="宋体"/>
            <w:sz w:val="28"/>
            <w:szCs w:val="28"/>
          </w:rPr>
          <w:t xml:space="preserve"> </w:t>
        </w: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2</w:t>
        </w:r>
        <w:r>
          <w:rPr>
            <w:rFonts w:ascii="宋体"/>
            <w:sz w:val="28"/>
            <w:szCs w:val="28"/>
          </w:rPr>
          <w:fldChar w:fldCharType="end"/>
        </w:r>
        <w:r>
          <w:rPr>
            <w:rFonts w:hint="eastAsia" w:ascii="宋体"/>
            <w:sz w:val="28"/>
            <w:szCs w:val="28"/>
          </w:rPr>
          <w:t xml:space="preserve"> </w:t>
        </w:r>
        <w:r>
          <w:rPr>
            <w:rFonts w:ascii="宋体"/>
            <w:sz w:val="28"/>
            <w:szCs w:val="28"/>
          </w:rPr>
          <w:t>—</w:t>
        </w:r>
      </w:sdtContent>
    </w:sdt>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1B5F6E6D"/>
    <w:rsid w:val="1F36F9AA"/>
    <w:rsid w:val="1FFF325E"/>
    <w:rsid w:val="3F7A30FB"/>
    <w:rsid w:val="4FFBB91C"/>
    <w:rsid w:val="52B752E3"/>
    <w:rsid w:val="53FC4CD4"/>
    <w:rsid w:val="553736E4"/>
    <w:rsid w:val="5F7B0CD8"/>
    <w:rsid w:val="5F7E5CB9"/>
    <w:rsid w:val="773FA94E"/>
    <w:rsid w:val="7CCC2FE1"/>
    <w:rsid w:val="7F390BCD"/>
    <w:rsid w:val="9DAFA6AC"/>
    <w:rsid w:val="B1FF3781"/>
    <w:rsid w:val="D67F2B53"/>
    <w:rsid w:val="DC9F49BF"/>
    <w:rsid w:val="F4BE04D2"/>
    <w:rsid w:val="F6D7F8A4"/>
    <w:rsid w:val="FD7650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2"/>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heading 1 Char"/>
    <w:basedOn w:val="9"/>
    <w:link w:val="2"/>
    <w:qFormat/>
    <w:uiPriority w:val="0"/>
    <w:rPr>
      <w:rFonts w:ascii="Times New Roman" w:hAnsi="Times New Roman" w:eastAsia="宋体" w:cs="Times New Roman"/>
      <w:b/>
      <w:bCs/>
      <w:kern w:val="44"/>
      <w:sz w:val="44"/>
      <w:szCs w:val="44"/>
      <w:lang w:val="en-US" w:eastAsia="zh-CN" w:bidi="ar-SA"/>
    </w:rPr>
  </w:style>
  <w:style w:type="character" w:customStyle="1" w:styleId="11">
    <w:name w:val="heading 2 Char"/>
    <w:basedOn w:val="9"/>
    <w:link w:val="3"/>
    <w:qFormat/>
    <w:uiPriority w:val="0"/>
    <w:rPr>
      <w:rFonts w:ascii="Times New Roman" w:hAnsi="Times New Roman" w:eastAsia="黑体" w:cs="Times New Roman"/>
      <w:b/>
      <w:bCs/>
      <w:kern w:val="2"/>
      <w:sz w:val="32"/>
      <w:szCs w:val="32"/>
      <w:lang w:val="en-US" w:eastAsia="zh-CN" w:bidi="ar-SA"/>
    </w:rPr>
  </w:style>
  <w:style w:type="character" w:customStyle="1" w:styleId="12">
    <w:name w:val="heading 3 Char"/>
    <w:basedOn w:val="9"/>
    <w:link w:val="4"/>
    <w:qFormat/>
    <w:uiPriority w:val="0"/>
    <w:rPr>
      <w:rFonts w:ascii="Times New Roman"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678 0 1 1 1 1"/>
    <sectPr xmlns="http://www.yozosoft.com.cn/officeDocument/2016/customData"/>
  </customProps>
</customData>
</file>

<file path=customXml/itemProps1.xml><?xml version="1.0" encoding="utf-8"?>
<ds:datastoreItem xmlns:ds="http://schemas.openxmlformats.org/officeDocument/2006/customXml" ds:itemID="{29C76418-46D2-4DAB-8CEB-3035B7B5F2F2}">
  <ds:schemaRefs/>
</ds:datastoreItem>
</file>

<file path=docProps/app.xml><?xml version="1.0" encoding="utf-8"?>
<Properties xmlns="http://schemas.openxmlformats.org/officeDocument/2006/extended-properties" xmlns:vt="http://schemas.openxmlformats.org/officeDocument/2006/docPropsVTypes">
  <Template>Normal.eit</Template>
  <Pages>1</Pages>
  <Words>862</Words>
  <Characters>863</Characters>
  <Lines>0</Lines>
  <Paragraphs>9</Paragraphs>
  <TotalTime>1</TotalTime>
  <ScaleCrop>false</ScaleCrop>
  <LinksUpToDate>false</LinksUpToDate>
  <CharactersWithSpaces>863</CharactersWithSpaces>
  <Application>WPS Office_11.8.2.12333_F1E327BC-269C-435d-A152-05C5408002CA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2019-05-18T17:57:00Z</dcterms:created>
  <dc:creator>DELL</dc:creator>
  <cp:lastModifiedBy>user</cp:lastModifiedBy>
  <dcterms:modified xsi:type="dcterms:W3CDTF">2026-05-12T15:08:19Z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KSOTemplateDocerSaveRecord">
    <vt:lpwstr>eyJoZGlkIjoiMjAwOTFjZWQxZjM1ZWFkNGFhOWViMzQxN2RjZTQxZmIiLCJ1c2VySWQiOiI1MDY0NjYyNzkifQ==</vt:lpwstr>
  </property>
  <property fmtid="{D5CDD505-2E9C-101B-9397-08002B2CF9AE}" pid="4" name="ICV">
    <vt:lpwstr>2D3F3B52E82B408488D0026A0C0D375A</vt:lpwstr>
  </property>
</Properties>
</file>